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rPr>
          <w:rFonts w:ascii="华文仿宋" w:hAnsi="华文仿宋" w:eastAsia="华文仿宋" w:cs="华文仿宋"/>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rPr>
          <w:rFonts w:ascii="仿宋_GB2312" w:eastAsia="仿宋_GB2312"/>
          <w:sz w:val="36"/>
          <w:szCs w:val="36"/>
          <w:u w:val="single"/>
        </w:rPr>
      </w:pPr>
      <w:r>
        <w:rPr>
          <w:rFonts w:hint="eastAsia" w:ascii="仿宋_GB2312" w:eastAsia="仿宋_GB2312"/>
          <w:sz w:val="36"/>
          <w:szCs w:val="36"/>
        </w:rPr>
        <w:t xml:space="preserve">项目名称： </w:t>
      </w:r>
      <w:r>
        <w:rPr>
          <w:rFonts w:hint="eastAsia" w:ascii="仿宋_GB2312" w:eastAsia="仿宋_GB2312"/>
          <w:sz w:val="36"/>
          <w:szCs w:val="36"/>
          <w:u w:val="single"/>
        </w:rPr>
        <w:t xml:space="preserve"> </w:t>
      </w:r>
      <w:r>
        <w:rPr>
          <w:rFonts w:hint="eastAsia" w:ascii="仿宋_GB2312" w:eastAsia="仿宋_GB2312"/>
          <w:sz w:val="36"/>
          <w:szCs w:val="36"/>
          <w:u w:val="single"/>
          <w:lang w:eastAsia="zh-CN"/>
        </w:rPr>
        <w:t>年产300万只医疗器械用塑料包装袋项目</w:t>
      </w:r>
      <w:r>
        <w:rPr>
          <w:rFonts w:hint="eastAsia" w:ascii="仿宋_GB2312" w:eastAsia="仿宋_GB2312"/>
          <w:sz w:val="36"/>
          <w:szCs w:val="36"/>
          <w:u w:val="single"/>
        </w:rPr>
        <w:t xml:space="preserve">                        </w:t>
      </w:r>
    </w:p>
    <w:p>
      <w:pPr>
        <w:adjustRightInd w:val="0"/>
        <w:snapToGrid w:val="0"/>
        <w:spacing w:line="288" w:lineRule="auto"/>
        <w:jc w:val="left"/>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lang w:eastAsia="zh-CN"/>
        </w:rPr>
        <w:t>常州市禾吉塑料包装有限公司</w:t>
      </w:r>
      <w:r>
        <w:rPr>
          <w:rFonts w:hint="eastAsia" w:ascii="仿宋_GB2312" w:eastAsia="仿宋_GB2312"/>
          <w:sz w:val="36"/>
          <w:szCs w:val="36"/>
          <w:u w:val="single"/>
          <w:lang w:val="en-US" w:eastAsia="zh-CN"/>
        </w:rPr>
        <w:t xml:space="preserve">                                             </w:t>
      </w:r>
    </w:p>
    <w:p>
      <w:pPr>
        <w:adjustRightInd w:val="0"/>
        <w:snapToGrid w:val="0"/>
        <w:spacing w:line="288" w:lineRule="auto"/>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rPr>
        <w:t>2024年</w:t>
      </w:r>
      <w:r>
        <w:rPr>
          <w:rFonts w:hint="eastAsia" w:ascii="仿宋_GB2312" w:eastAsia="仿宋_GB2312"/>
          <w:sz w:val="36"/>
          <w:szCs w:val="36"/>
          <w:u w:val="single"/>
          <w:lang w:val="en-US" w:eastAsia="zh-CN"/>
        </w:rPr>
        <w:t>5</w:t>
      </w:r>
      <w:r>
        <w:rPr>
          <w:rFonts w:hint="eastAsia" w:ascii="仿宋_GB2312" w:eastAsia="仿宋_GB2312"/>
          <w:sz w:val="36"/>
          <w:szCs w:val="36"/>
          <w:u w:val="single"/>
        </w:rPr>
        <w:t>月</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1"/>
        <w:tblW w:w="88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60"/>
        <w:gridCol w:w="2359"/>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60" w:type="dxa"/>
            <w:tcMar>
              <w:top w:w="16" w:type="dxa"/>
              <w:left w:w="16" w:type="dxa"/>
              <w:right w:w="16" w:type="dxa"/>
            </w:tcMar>
            <w:vAlign w:val="center"/>
          </w:tcPr>
          <w:p>
            <w:pPr>
              <w:adjustRightInd w:val="0"/>
              <w:snapToGrid w:val="0"/>
              <w:jc w:val="center"/>
              <w:rPr>
                <w:szCs w:val="21"/>
              </w:rPr>
            </w:pPr>
            <w:r>
              <w:rPr>
                <w:szCs w:val="21"/>
              </w:rPr>
              <w:t>建设项目名称</w:t>
            </w:r>
          </w:p>
        </w:tc>
        <w:tc>
          <w:tcPr>
            <w:tcW w:w="7210" w:type="dxa"/>
            <w:gridSpan w:val="3"/>
            <w:vAlign w:val="center"/>
          </w:tcPr>
          <w:p>
            <w:pPr>
              <w:adjustRightInd w:val="0"/>
              <w:snapToGrid w:val="0"/>
              <w:jc w:val="center"/>
              <w:rPr>
                <w:rFonts w:hint="eastAsia" w:eastAsia="宋体"/>
                <w:szCs w:val="21"/>
                <w:lang w:eastAsia="zh-CN"/>
              </w:rPr>
            </w:pPr>
            <w:r>
              <w:rPr>
                <w:rFonts w:hint="eastAsia"/>
                <w:szCs w:val="21"/>
                <w:lang w:eastAsia="zh-CN"/>
              </w:rPr>
              <w:t>年产300万只医疗器械用塑料包装袋项目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60" w:type="dxa"/>
            <w:tcMar>
              <w:top w:w="16" w:type="dxa"/>
              <w:left w:w="16" w:type="dxa"/>
              <w:right w:w="16" w:type="dxa"/>
            </w:tcMar>
            <w:vAlign w:val="center"/>
          </w:tcPr>
          <w:p>
            <w:pPr>
              <w:adjustRightInd w:val="0"/>
              <w:snapToGrid w:val="0"/>
              <w:jc w:val="center"/>
              <w:rPr>
                <w:szCs w:val="21"/>
              </w:rPr>
            </w:pPr>
            <w:r>
              <w:rPr>
                <w:szCs w:val="21"/>
              </w:rPr>
              <w:t>项目代码</w:t>
            </w:r>
          </w:p>
        </w:tc>
        <w:tc>
          <w:tcPr>
            <w:tcW w:w="7210" w:type="dxa"/>
            <w:gridSpan w:val="3"/>
            <w:vAlign w:val="center"/>
          </w:tcPr>
          <w:p>
            <w:pPr>
              <w:adjustRightInd w:val="0"/>
              <w:snapToGrid w:val="0"/>
              <w:jc w:val="center"/>
              <w:rPr>
                <w:rFonts w:hint="eastAsia" w:eastAsia="宋体"/>
                <w:szCs w:val="21"/>
                <w:lang w:eastAsia="zh-CN"/>
              </w:rPr>
            </w:pPr>
            <w:r>
              <w:rPr>
                <w:rFonts w:hint="eastAsia"/>
                <w:szCs w:val="21"/>
                <w:lang w:eastAsia="zh-CN"/>
              </w:rPr>
              <w:t>2405-320451-04-01-535917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60" w:type="dxa"/>
            <w:tcMar>
              <w:top w:w="16" w:type="dxa"/>
              <w:left w:w="16" w:type="dxa"/>
              <w:right w:w="16" w:type="dxa"/>
            </w:tcMar>
            <w:vAlign w:val="center"/>
          </w:tcPr>
          <w:p>
            <w:pPr>
              <w:adjustRightInd w:val="0"/>
              <w:snapToGrid w:val="0"/>
              <w:jc w:val="center"/>
              <w:rPr>
                <w:szCs w:val="21"/>
              </w:rPr>
            </w:pPr>
            <w:r>
              <w:rPr>
                <w:szCs w:val="21"/>
              </w:rPr>
              <w:t>建设单位联系人</w:t>
            </w:r>
          </w:p>
        </w:tc>
        <w:tc>
          <w:tcPr>
            <w:tcW w:w="2359" w:type="dxa"/>
            <w:vAlign w:val="center"/>
          </w:tcPr>
          <w:p>
            <w:pPr>
              <w:adjustRightInd w:val="0"/>
              <w:snapToGrid w:val="0"/>
              <w:jc w:val="center"/>
              <w:rPr>
                <w:rFonts w:eastAsia="Calibri"/>
                <w:szCs w:val="21"/>
              </w:rPr>
            </w:pPr>
            <w:r>
              <w:rPr>
                <w:rFonts w:hint="eastAsia" w:eastAsia="Calibri"/>
                <w:szCs w:val="21"/>
              </w:rPr>
              <w:t>张优春</w:t>
            </w:r>
          </w:p>
        </w:tc>
        <w:tc>
          <w:tcPr>
            <w:tcW w:w="2212" w:type="dxa"/>
            <w:vAlign w:val="center"/>
          </w:tcPr>
          <w:p>
            <w:pPr>
              <w:adjustRightInd w:val="0"/>
              <w:snapToGrid w:val="0"/>
              <w:jc w:val="center"/>
              <w:rPr>
                <w:szCs w:val="21"/>
              </w:rPr>
            </w:pPr>
            <w:r>
              <w:rPr>
                <w:szCs w:val="21"/>
              </w:rPr>
              <w:t>联系方式</w:t>
            </w:r>
          </w:p>
        </w:tc>
        <w:tc>
          <w:tcPr>
            <w:tcW w:w="2639" w:type="dxa"/>
            <w:vAlign w:val="center"/>
          </w:tcPr>
          <w:p>
            <w:pPr>
              <w:adjustRightInd w:val="0"/>
              <w:snapToGrid w:val="0"/>
              <w:jc w:val="center"/>
              <w:rPr>
                <w:rFonts w:eastAsia="Calibri"/>
                <w:szCs w:val="21"/>
              </w:rPr>
            </w:pPr>
            <w:r>
              <w:rPr>
                <w:rFonts w:hint="eastAsia" w:eastAsia="Calibri"/>
                <w:szCs w:val="21"/>
              </w:rPr>
              <w:t>13901506051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60" w:type="dxa"/>
            <w:tcMar>
              <w:top w:w="16" w:type="dxa"/>
              <w:left w:w="16" w:type="dxa"/>
              <w:right w:w="16" w:type="dxa"/>
            </w:tcMar>
            <w:vAlign w:val="center"/>
          </w:tcPr>
          <w:p>
            <w:pPr>
              <w:adjustRightInd w:val="0"/>
              <w:snapToGrid w:val="0"/>
              <w:jc w:val="center"/>
              <w:rPr>
                <w:szCs w:val="21"/>
              </w:rPr>
            </w:pPr>
            <w:r>
              <w:rPr>
                <w:szCs w:val="21"/>
              </w:rPr>
              <w:t>建设地点</w:t>
            </w:r>
          </w:p>
        </w:tc>
        <w:tc>
          <w:tcPr>
            <w:tcW w:w="7210" w:type="dxa"/>
            <w:gridSpan w:val="3"/>
            <w:vAlign w:val="center"/>
          </w:tcPr>
          <w:p>
            <w:pPr>
              <w:adjustRightInd w:val="0"/>
              <w:snapToGrid w:val="0"/>
              <w:jc w:val="center"/>
              <w:rPr>
                <w:szCs w:val="21"/>
              </w:rPr>
            </w:pPr>
            <w:r>
              <w:rPr>
                <w:szCs w:val="21"/>
              </w:rPr>
              <w:t>江苏省常州市武进国家高新技术产业开发区龙逸路76号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60" w:type="dxa"/>
            <w:tcMar>
              <w:top w:w="16" w:type="dxa"/>
              <w:left w:w="16" w:type="dxa"/>
              <w:right w:w="16" w:type="dxa"/>
            </w:tcMar>
            <w:vAlign w:val="center"/>
          </w:tcPr>
          <w:p>
            <w:pPr>
              <w:adjustRightInd w:val="0"/>
              <w:snapToGrid w:val="0"/>
              <w:jc w:val="center"/>
              <w:rPr>
                <w:szCs w:val="21"/>
              </w:rPr>
            </w:pPr>
            <w:r>
              <w:rPr>
                <w:szCs w:val="21"/>
              </w:rPr>
              <w:t>地理坐标</w:t>
            </w:r>
          </w:p>
        </w:tc>
        <w:tc>
          <w:tcPr>
            <w:tcW w:w="7210" w:type="dxa"/>
            <w:gridSpan w:val="3"/>
            <w:vAlign w:val="center"/>
          </w:tcPr>
          <w:p>
            <w:pPr>
              <w:jc w:val="center"/>
              <w:rPr>
                <w:szCs w:val="21"/>
              </w:rPr>
            </w:pPr>
            <w:r>
              <w:rPr>
                <w:szCs w:val="21"/>
              </w:rPr>
              <w:t>（</w:t>
            </w:r>
            <w:r>
              <w:rPr>
                <w:szCs w:val="21"/>
                <w:u w:val="single"/>
              </w:rPr>
              <w:t>119</w:t>
            </w:r>
            <w:r>
              <w:rPr>
                <w:szCs w:val="21"/>
              </w:rPr>
              <w:t>度</w:t>
            </w:r>
            <w:r>
              <w:rPr>
                <w:szCs w:val="21"/>
                <w:u w:val="single"/>
              </w:rPr>
              <w:t>5</w:t>
            </w:r>
            <w:r>
              <w:rPr>
                <w:rFonts w:hint="eastAsia"/>
                <w:szCs w:val="21"/>
                <w:u w:val="single"/>
                <w:lang w:val="en-US" w:eastAsia="zh-CN"/>
              </w:rPr>
              <w:t>8</w:t>
            </w:r>
            <w:r>
              <w:rPr>
                <w:szCs w:val="21"/>
              </w:rPr>
              <w:t>分</w:t>
            </w:r>
            <w:r>
              <w:rPr>
                <w:rFonts w:hint="eastAsia"/>
                <w:szCs w:val="21"/>
                <w:u w:val="single"/>
                <w:lang w:val="en-US" w:eastAsia="zh-CN"/>
              </w:rPr>
              <w:t>39.118</w:t>
            </w:r>
            <w:r>
              <w:rPr>
                <w:szCs w:val="21"/>
              </w:rPr>
              <w:t>秒</w:t>
            </w:r>
            <w:r>
              <w:rPr>
                <w:szCs w:val="21"/>
                <w:u w:val="single"/>
              </w:rPr>
              <w:t>，31</w:t>
            </w:r>
            <w:r>
              <w:rPr>
                <w:szCs w:val="21"/>
              </w:rPr>
              <w:t>度</w:t>
            </w:r>
            <w:r>
              <w:rPr>
                <w:rFonts w:hint="eastAsia"/>
                <w:szCs w:val="21"/>
                <w:u w:val="single"/>
                <w:lang w:val="en-US" w:eastAsia="zh-CN"/>
              </w:rPr>
              <w:t>38</w:t>
            </w:r>
            <w:r>
              <w:rPr>
                <w:szCs w:val="21"/>
              </w:rPr>
              <w:t>分</w:t>
            </w:r>
            <w:r>
              <w:rPr>
                <w:rFonts w:hint="eastAsia"/>
                <w:szCs w:val="21"/>
                <w:u w:val="single"/>
                <w:lang w:val="en-US" w:eastAsia="zh-CN"/>
              </w:rPr>
              <w:t>14.288</w:t>
            </w:r>
            <w:r>
              <w:rPr>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660" w:type="dxa"/>
            <w:tcMar>
              <w:top w:w="16" w:type="dxa"/>
              <w:left w:w="16" w:type="dxa"/>
              <w:right w:w="16" w:type="dxa"/>
            </w:tcMar>
            <w:vAlign w:val="center"/>
          </w:tcPr>
          <w:p>
            <w:pPr>
              <w:adjustRightInd w:val="0"/>
              <w:snapToGrid w:val="0"/>
              <w:jc w:val="center"/>
              <w:rPr>
                <w:szCs w:val="21"/>
              </w:rPr>
            </w:pPr>
            <w:r>
              <w:rPr>
                <w:szCs w:val="21"/>
              </w:rPr>
              <w:t>国民经济</w:t>
            </w:r>
          </w:p>
          <w:p>
            <w:pPr>
              <w:adjustRightInd w:val="0"/>
              <w:snapToGrid w:val="0"/>
              <w:jc w:val="center"/>
              <w:rPr>
                <w:szCs w:val="21"/>
              </w:rPr>
            </w:pPr>
            <w:r>
              <w:rPr>
                <w:szCs w:val="21"/>
              </w:rPr>
              <w:t>行业类别</w:t>
            </w:r>
          </w:p>
        </w:tc>
        <w:tc>
          <w:tcPr>
            <w:tcW w:w="2359" w:type="dxa"/>
            <w:vAlign w:val="center"/>
          </w:tcPr>
          <w:p>
            <w:pPr>
              <w:adjustRightInd w:val="0"/>
              <w:snapToGrid w:val="0"/>
              <w:jc w:val="center"/>
              <w:rPr>
                <w:szCs w:val="21"/>
              </w:rPr>
            </w:pPr>
            <w:r>
              <w:rPr>
                <w:szCs w:val="21"/>
              </w:rPr>
              <w:t>C2921塑料薄膜制造</w:t>
            </w:r>
          </w:p>
        </w:tc>
        <w:tc>
          <w:tcPr>
            <w:tcW w:w="2212" w:type="dxa"/>
            <w:vAlign w:val="center"/>
          </w:tcPr>
          <w:p>
            <w:pPr>
              <w:adjustRightInd w:val="0"/>
              <w:snapToGrid w:val="0"/>
              <w:jc w:val="center"/>
              <w:rPr>
                <w:szCs w:val="21"/>
              </w:rPr>
            </w:pPr>
            <w:bookmarkStart w:id="1" w:name="_Hlk49843745"/>
            <w:r>
              <w:rPr>
                <w:szCs w:val="21"/>
              </w:rPr>
              <w:t>建设项目</w:t>
            </w:r>
          </w:p>
          <w:p>
            <w:pPr>
              <w:adjustRightInd w:val="0"/>
              <w:snapToGrid w:val="0"/>
              <w:jc w:val="center"/>
              <w:rPr>
                <w:szCs w:val="21"/>
              </w:rPr>
            </w:pPr>
            <w:r>
              <w:rPr>
                <w:szCs w:val="21"/>
              </w:rPr>
              <w:t>行业类别</w:t>
            </w:r>
            <w:bookmarkEnd w:id="1"/>
          </w:p>
        </w:tc>
        <w:tc>
          <w:tcPr>
            <w:tcW w:w="2639" w:type="dxa"/>
            <w:vAlign w:val="center"/>
          </w:tcPr>
          <w:p>
            <w:pPr>
              <w:adjustRightInd w:val="0"/>
              <w:snapToGrid w:val="0"/>
              <w:rPr>
                <w:szCs w:val="21"/>
              </w:rPr>
            </w:pPr>
            <w:r>
              <w:rPr>
                <w:rFonts w:hint="eastAsia"/>
                <w:szCs w:val="21"/>
              </w:rPr>
              <w:t>二十六、橡胶和塑料制品业29，53、塑料制品业292，其他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660" w:type="dxa"/>
            <w:tcMar>
              <w:top w:w="16" w:type="dxa"/>
              <w:left w:w="16" w:type="dxa"/>
              <w:right w:w="16" w:type="dxa"/>
            </w:tcMar>
            <w:vAlign w:val="center"/>
          </w:tcPr>
          <w:p>
            <w:pPr>
              <w:adjustRightInd w:val="0"/>
              <w:snapToGrid w:val="0"/>
              <w:jc w:val="center"/>
              <w:rPr>
                <w:szCs w:val="21"/>
              </w:rPr>
            </w:pPr>
            <w:r>
              <w:rPr>
                <w:szCs w:val="21"/>
              </w:rPr>
              <w:t>建设性质</w:t>
            </w:r>
          </w:p>
        </w:tc>
        <w:tc>
          <w:tcPr>
            <w:tcW w:w="2359" w:type="dxa"/>
            <w:vAlign w:val="center"/>
          </w:tcPr>
          <w:p>
            <w:pPr>
              <w:jc w:val="left"/>
              <w:rPr>
                <w:szCs w:val="21"/>
              </w:rPr>
            </w:pPr>
            <w:r>
              <w:rPr>
                <w:szCs w:val="21"/>
              </w:rPr>
              <w:sym w:font="Wingdings 2" w:char="0052"/>
            </w:r>
            <w:r>
              <w:rPr>
                <w:szCs w:val="21"/>
              </w:rPr>
              <w:t>新建（迁建）</w:t>
            </w:r>
          </w:p>
          <w:p>
            <w:pPr>
              <w:jc w:val="left"/>
              <w:rPr>
                <w:szCs w:val="21"/>
              </w:rPr>
            </w:pPr>
            <w:r>
              <w:rPr>
                <w:szCs w:val="21"/>
              </w:rPr>
              <w:sym w:font="Wingdings 2" w:char="00A3"/>
            </w:r>
            <w:r>
              <w:rPr>
                <w:szCs w:val="21"/>
              </w:rPr>
              <w:t>改建</w:t>
            </w:r>
          </w:p>
          <w:p>
            <w:pPr>
              <w:jc w:val="left"/>
              <w:rPr>
                <w:szCs w:val="21"/>
              </w:rPr>
            </w:pPr>
            <w:r>
              <w:rPr>
                <w:szCs w:val="21"/>
              </w:rPr>
              <w:sym w:font="Wingdings 2" w:char="00A3"/>
            </w:r>
            <w:r>
              <w:rPr>
                <w:szCs w:val="21"/>
              </w:rPr>
              <w:t>扩建</w:t>
            </w:r>
          </w:p>
          <w:p>
            <w:pPr>
              <w:jc w:val="left"/>
              <w:rPr>
                <w:szCs w:val="21"/>
              </w:rPr>
            </w:pPr>
            <w:r>
              <w:rPr>
                <w:szCs w:val="21"/>
              </w:rPr>
              <w:sym w:font="Wingdings 2" w:char="00A3"/>
            </w:r>
            <w:r>
              <w:rPr>
                <w:szCs w:val="21"/>
              </w:rPr>
              <w:t>技术改造</w:t>
            </w:r>
          </w:p>
        </w:tc>
        <w:tc>
          <w:tcPr>
            <w:tcW w:w="2212" w:type="dxa"/>
            <w:vAlign w:val="center"/>
          </w:tcPr>
          <w:p>
            <w:pPr>
              <w:adjustRightInd w:val="0"/>
              <w:snapToGrid w:val="0"/>
              <w:jc w:val="center"/>
              <w:rPr>
                <w:szCs w:val="21"/>
              </w:rPr>
            </w:pPr>
            <w:r>
              <w:rPr>
                <w:szCs w:val="21"/>
              </w:rPr>
              <w:t>建设项目</w:t>
            </w:r>
          </w:p>
          <w:p>
            <w:pPr>
              <w:adjustRightInd w:val="0"/>
              <w:snapToGrid w:val="0"/>
              <w:jc w:val="center"/>
              <w:rPr>
                <w:szCs w:val="21"/>
              </w:rPr>
            </w:pPr>
            <w:r>
              <w:rPr>
                <w:szCs w:val="21"/>
              </w:rPr>
              <w:t>申报情形</w:t>
            </w:r>
          </w:p>
        </w:tc>
        <w:tc>
          <w:tcPr>
            <w:tcW w:w="2639" w:type="dxa"/>
            <w:vAlign w:val="center"/>
          </w:tcPr>
          <w:p>
            <w:pPr>
              <w:jc w:val="left"/>
              <w:rPr>
                <w:szCs w:val="21"/>
              </w:rPr>
            </w:pPr>
            <w:r>
              <w:rPr>
                <w:szCs w:val="21"/>
              </w:rPr>
              <w:sym w:font="Wingdings 2" w:char="0052"/>
            </w:r>
            <w:r>
              <w:rPr>
                <w:szCs w:val="21"/>
              </w:rPr>
              <w:t xml:space="preserve">首次申报项目             </w:t>
            </w:r>
          </w:p>
          <w:p>
            <w:pPr>
              <w:jc w:val="left"/>
              <w:rPr>
                <w:szCs w:val="21"/>
              </w:rPr>
            </w:pPr>
            <w:r>
              <w:rPr>
                <w:szCs w:val="21"/>
              </w:rPr>
              <w:sym w:font="Wingdings 2" w:char="00A3"/>
            </w:r>
            <w:r>
              <w:rPr>
                <w:szCs w:val="21"/>
              </w:rPr>
              <w:t>不予批准后再次申报项目</w:t>
            </w:r>
          </w:p>
          <w:p>
            <w:pPr>
              <w:jc w:val="left"/>
              <w:rPr>
                <w:szCs w:val="21"/>
              </w:rPr>
            </w:pPr>
            <w:r>
              <w:rPr>
                <w:szCs w:val="21"/>
              </w:rPr>
              <w:sym w:font="Wingdings 2" w:char="00A3"/>
            </w:r>
            <w:r>
              <w:rPr>
                <w:szCs w:val="21"/>
              </w:rPr>
              <w:t xml:space="preserve">超五年重新审核项目     </w:t>
            </w:r>
          </w:p>
          <w:p>
            <w:pPr>
              <w:jc w:val="left"/>
              <w:rPr>
                <w:szCs w:val="21"/>
              </w:rPr>
            </w:pPr>
            <w:r>
              <w:rPr>
                <w:szCs w:val="21"/>
              </w:rPr>
              <w:sym w:font="Wingdings 2" w:char="00A3"/>
            </w:r>
            <w:r>
              <w:rPr>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660" w:type="dxa"/>
            <w:tcMar>
              <w:top w:w="16" w:type="dxa"/>
              <w:left w:w="16" w:type="dxa"/>
              <w:right w:w="16" w:type="dxa"/>
            </w:tcMar>
            <w:vAlign w:val="center"/>
          </w:tcPr>
          <w:p>
            <w:pPr>
              <w:adjustRightInd w:val="0"/>
              <w:snapToGrid w:val="0"/>
              <w:jc w:val="center"/>
              <w:rPr>
                <w:szCs w:val="21"/>
              </w:rPr>
            </w:pPr>
            <w:r>
              <w:rPr>
                <w:szCs w:val="21"/>
              </w:rPr>
              <w:t>项目审批（核准/</w:t>
            </w:r>
          </w:p>
          <w:p>
            <w:pPr>
              <w:adjustRightInd w:val="0"/>
              <w:snapToGrid w:val="0"/>
              <w:jc w:val="center"/>
              <w:rPr>
                <w:szCs w:val="21"/>
              </w:rPr>
            </w:pPr>
            <w:r>
              <w:rPr>
                <w:szCs w:val="21"/>
              </w:rPr>
              <w:t>备案）部门（选填）</w:t>
            </w:r>
          </w:p>
        </w:tc>
        <w:tc>
          <w:tcPr>
            <w:tcW w:w="2359" w:type="dxa"/>
            <w:vAlign w:val="center"/>
          </w:tcPr>
          <w:p>
            <w:pPr>
              <w:adjustRightInd w:val="0"/>
              <w:snapToGrid w:val="0"/>
              <w:jc w:val="center"/>
              <w:rPr>
                <w:szCs w:val="21"/>
              </w:rPr>
            </w:pPr>
            <w:r>
              <w:rPr>
                <w:szCs w:val="21"/>
              </w:rPr>
              <w:t>武进国家高新技术产业开发区管理委员会</w:t>
            </w:r>
          </w:p>
        </w:tc>
        <w:tc>
          <w:tcPr>
            <w:tcW w:w="2212" w:type="dxa"/>
            <w:vAlign w:val="center"/>
          </w:tcPr>
          <w:p>
            <w:pPr>
              <w:adjustRightInd w:val="0"/>
              <w:snapToGrid w:val="0"/>
              <w:jc w:val="center"/>
              <w:rPr>
                <w:szCs w:val="21"/>
              </w:rPr>
            </w:pPr>
            <w:r>
              <w:rPr>
                <w:szCs w:val="21"/>
              </w:rPr>
              <w:t>项目审批（核准/</w:t>
            </w:r>
          </w:p>
          <w:p>
            <w:pPr>
              <w:adjustRightInd w:val="0"/>
              <w:snapToGrid w:val="0"/>
              <w:jc w:val="center"/>
              <w:rPr>
                <w:szCs w:val="21"/>
              </w:rPr>
            </w:pPr>
            <w:r>
              <w:rPr>
                <w:szCs w:val="21"/>
              </w:rPr>
              <w:t>备案）文号（选填）</w:t>
            </w:r>
          </w:p>
        </w:tc>
        <w:tc>
          <w:tcPr>
            <w:tcW w:w="2639" w:type="dxa"/>
            <w:vAlign w:val="center"/>
          </w:tcPr>
          <w:p>
            <w:pPr>
              <w:adjustRightInd w:val="0"/>
              <w:snapToGrid w:val="0"/>
              <w:jc w:val="center"/>
              <w:rPr>
                <w:szCs w:val="21"/>
              </w:rPr>
            </w:pPr>
            <w:r>
              <w:rPr>
                <w:szCs w:val="21"/>
              </w:rPr>
              <w:t>武</w:t>
            </w:r>
            <w:r>
              <w:rPr>
                <w:rFonts w:hint="eastAsia"/>
                <w:szCs w:val="21"/>
                <w:lang w:val="en-US" w:eastAsia="zh-CN"/>
              </w:rPr>
              <w:t>新区委备</w:t>
            </w:r>
            <w:r>
              <w:rPr>
                <w:szCs w:val="21"/>
              </w:rPr>
              <w:t>[202</w:t>
            </w:r>
            <w:r>
              <w:rPr>
                <w:rFonts w:hint="eastAsia"/>
                <w:szCs w:val="21"/>
                <w:lang w:val="en-US" w:eastAsia="zh-CN"/>
              </w:rPr>
              <w:t>4</w:t>
            </w:r>
            <w:r>
              <w:rPr>
                <w:szCs w:val="21"/>
              </w:rPr>
              <w:t>]</w:t>
            </w:r>
            <w:r>
              <w:rPr>
                <w:rFonts w:hint="eastAsia"/>
                <w:szCs w:val="21"/>
                <w:lang w:val="en-US" w:eastAsia="zh-CN"/>
              </w:rPr>
              <w:t>66</w:t>
            </w:r>
            <w:r>
              <w:rPr>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60" w:type="dxa"/>
            <w:tcMar>
              <w:top w:w="16" w:type="dxa"/>
              <w:left w:w="16" w:type="dxa"/>
              <w:right w:w="16" w:type="dxa"/>
            </w:tcMar>
            <w:vAlign w:val="center"/>
          </w:tcPr>
          <w:p>
            <w:pPr>
              <w:adjustRightInd w:val="0"/>
              <w:snapToGrid w:val="0"/>
              <w:jc w:val="center"/>
              <w:rPr>
                <w:szCs w:val="21"/>
              </w:rPr>
            </w:pPr>
            <w:r>
              <w:rPr>
                <w:szCs w:val="21"/>
              </w:rPr>
              <w:t>总投资（万元）</w:t>
            </w:r>
          </w:p>
        </w:tc>
        <w:tc>
          <w:tcPr>
            <w:tcW w:w="2359" w:type="dxa"/>
            <w:vAlign w:val="center"/>
          </w:tcPr>
          <w:p>
            <w:pPr>
              <w:adjustRightInd w:val="0"/>
              <w:snapToGrid w:val="0"/>
              <w:jc w:val="center"/>
              <w:rPr>
                <w:rFonts w:hint="default" w:eastAsia="宋体"/>
                <w:szCs w:val="21"/>
                <w:lang w:val="en-US" w:eastAsia="zh-CN"/>
              </w:rPr>
            </w:pPr>
            <w:r>
              <w:rPr>
                <w:rFonts w:hint="eastAsia"/>
                <w:szCs w:val="21"/>
                <w:lang w:val="en-US" w:eastAsia="zh-CN"/>
              </w:rPr>
              <w:t>200</w:t>
            </w:r>
          </w:p>
        </w:tc>
        <w:tc>
          <w:tcPr>
            <w:tcW w:w="2212" w:type="dxa"/>
            <w:tcMar>
              <w:top w:w="16" w:type="dxa"/>
              <w:left w:w="16" w:type="dxa"/>
              <w:right w:w="16" w:type="dxa"/>
            </w:tcMar>
            <w:vAlign w:val="center"/>
          </w:tcPr>
          <w:p>
            <w:pPr>
              <w:adjustRightInd w:val="0"/>
              <w:snapToGrid w:val="0"/>
              <w:jc w:val="center"/>
              <w:rPr>
                <w:szCs w:val="21"/>
              </w:rPr>
            </w:pPr>
            <w:r>
              <w:rPr>
                <w:szCs w:val="21"/>
              </w:rPr>
              <w:t>环保投资（万元）</w:t>
            </w:r>
          </w:p>
        </w:tc>
        <w:tc>
          <w:tcPr>
            <w:tcW w:w="2639" w:type="dxa"/>
            <w:vAlign w:val="center"/>
          </w:tcPr>
          <w:p>
            <w:pPr>
              <w:adjustRightInd w:val="0"/>
              <w:snapToGrid w:val="0"/>
              <w:jc w:val="center"/>
              <w:rPr>
                <w:rFonts w:hint="default" w:eastAsia="宋体"/>
                <w:szCs w:val="21"/>
                <w:lang w:val="en-US" w:eastAsia="zh-CN"/>
              </w:rPr>
            </w:pPr>
            <w:r>
              <w:rPr>
                <w:rFonts w:hint="eastAsia"/>
                <w:szCs w:val="21"/>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60" w:type="dxa"/>
            <w:tcMar>
              <w:top w:w="16" w:type="dxa"/>
              <w:left w:w="16" w:type="dxa"/>
              <w:right w:w="16" w:type="dxa"/>
            </w:tcMar>
            <w:vAlign w:val="center"/>
          </w:tcPr>
          <w:p>
            <w:pPr>
              <w:adjustRightInd w:val="0"/>
              <w:snapToGrid w:val="0"/>
              <w:jc w:val="center"/>
              <w:rPr>
                <w:szCs w:val="21"/>
              </w:rPr>
            </w:pPr>
            <w:r>
              <w:rPr>
                <w:szCs w:val="21"/>
              </w:rPr>
              <w:t>环保投资占比（%）</w:t>
            </w:r>
          </w:p>
        </w:tc>
        <w:tc>
          <w:tcPr>
            <w:tcW w:w="2359" w:type="dxa"/>
            <w:vAlign w:val="center"/>
          </w:tcPr>
          <w:p>
            <w:pPr>
              <w:adjustRightInd w:val="0"/>
              <w:snapToGrid w:val="0"/>
              <w:jc w:val="center"/>
              <w:rPr>
                <w:szCs w:val="21"/>
              </w:rPr>
            </w:pPr>
            <w:r>
              <w:rPr>
                <w:rFonts w:hint="eastAsia"/>
                <w:szCs w:val="21"/>
                <w:lang w:val="en-US" w:eastAsia="zh-CN"/>
              </w:rPr>
              <w:t>15</w:t>
            </w:r>
            <w:r>
              <w:rPr>
                <w:rFonts w:hint="eastAsia"/>
                <w:szCs w:val="21"/>
              </w:rPr>
              <w:t>%</w:t>
            </w:r>
          </w:p>
        </w:tc>
        <w:tc>
          <w:tcPr>
            <w:tcW w:w="2212" w:type="dxa"/>
            <w:tcMar>
              <w:top w:w="16" w:type="dxa"/>
              <w:left w:w="16" w:type="dxa"/>
              <w:right w:w="16" w:type="dxa"/>
            </w:tcMar>
            <w:vAlign w:val="center"/>
          </w:tcPr>
          <w:p>
            <w:pPr>
              <w:adjustRightInd w:val="0"/>
              <w:snapToGrid w:val="0"/>
              <w:jc w:val="center"/>
              <w:rPr>
                <w:szCs w:val="21"/>
              </w:rPr>
            </w:pPr>
            <w:r>
              <w:rPr>
                <w:szCs w:val="21"/>
              </w:rPr>
              <w:t>施工工期</w:t>
            </w:r>
          </w:p>
        </w:tc>
        <w:tc>
          <w:tcPr>
            <w:tcW w:w="2639" w:type="dxa"/>
            <w:vAlign w:val="center"/>
          </w:tcPr>
          <w:p>
            <w:pPr>
              <w:adjustRightInd w:val="0"/>
              <w:snapToGrid w:val="0"/>
              <w:jc w:val="center"/>
              <w:rPr>
                <w:szCs w:val="21"/>
              </w:rPr>
            </w:pPr>
            <w:r>
              <w:rPr>
                <w:rFonts w:hint="eastAsia"/>
                <w:szCs w:val="21"/>
                <w:lang w:val="en-US" w:eastAsia="zh-CN"/>
              </w:rPr>
              <w:t>3</w:t>
            </w:r>
            <w:r>
              <w:rPr>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60" w:type="dxa"/>
            <w:tcMar>
              <w:top w:w="16" w:type="dxa"/>
              <w:left w:w="16" w:type="dxa"/>
              <w:right w:w="16" w:type="dxa"/>
            </w:tcMar>
            <w:vAlign w:val="center"/>
          </w:tcPr>
          <w:p>
            <w:pPr>
              <w:adjustRightInd w:val="0"/>
              <w:snapToGrid w:val="0"/>
              <w:jc w:val="center"/>
              <w:rPr>
                <w:szCs w:val="21"/>
              </w:rPr>
            </w:pPr>
            <w:r>
              <w:rPr>
                <w:szCs w:val="21"/>
              </w:rPr>
              <w:t>是否开工建设</w:t>
            </w:r>
          </w:p>
        </w:tc>
        <w:tc>
          <w:tcPr>
            <w:tcW w:w="2359" w:type="dxa"/>
            <w:vAlign w:val="center"/>
          </w:tcPr>
          <w:p>
            <w:pPr>
              <w:adjustRightInd w:val="0"/>
              <w:snapToGrid w:val="0"/>
              <w:rPr>
                <w:szCs w:val="21"/>
              </w:rPr>
            </w:pPr>
            <w:r>
              <w:rPr>
                <w:szCs w:val="21"/>
              </w:rPr>
              <w:sym w:font="Wingdings 2" w:char="0052"/>
            </w:r>
            <w:r>
              <w:rPr>
                <w:szCs w:val="21"/>
              </w:rPr>
              <w:t>否</w:t>
            </w:r>
          </w:p>
          <w:p>
            <w:pPr>
              <w:adjustRightInd w:val="0"/>
              <w:snapToGrid w:val="0"/>
              <w:rPr>
                <w:szCs w:val="21"/>
              </w:rPr>
            </w:pPr>
            <w:r>
              <w:rPr>
                <w:szCs w:val="21"/>
              </w:rPr>
              <w:sym w:font="Wingdings 2" w:char="00A3"/>
            </w:r>
            <w:r>
              <w:rPr>
                <w:szCs w:val="21"/>
              </w:rPr>
              <w:t>是：</w:t>
            </w:r>
            <w:r>
              <w:rPr>
                <w:szCs w:val="21"/>
                <w:u w:val="single"/>
              </w:rPr>
              <w:t xml:space="preserve">             </w:t>
            </w:r>
          </w:p>
        </w:tc>
        <w:tc>
          <w:tcPr>
            <w:tcW w:w="2212" w:type="dxa"/>
            <w:tcMar>
              <w:top w:w="16" w:type="dxa"/>
              <w:left w:w="16" w:type="dxa"/>
              <w:right w:w="16" w:type="dxa"/>
            </w:tcMar>
            <w:vAlign w:val="center"/>
          </w:tcPr>
          <w:p>
            <w:pPr>
              <w:adjustRightInd w:val="0"/>
              <w:snapToGrid w:val="0"/>
              <w:jc w:val="center"/>
              <w:rPr>
                <w:spacing w:val="-6"/>
                <w:szCs w:val="21"/>
              </w:rPr>
            </w:pPr>
            <w:r>
              <w:rPr>
                <w:spacing w:val="-6"/>
                <w:szCs w:val="21"/>
              </w:rPr>
              <w:t>用地（用海）</w:t>
            </w:r>
          </w:p>
          <w:p>
            <w:pPr>
              <w:adjustRightInd w:val="0"/>
              <w:snapToGrid w:val="0"/>
              <w:jc w:val="center"/>
              <w:rPr>
                <w:szCs w:val="21"/>
              </w:rPr>
            </w:pPr>
            <w:r>
              <w:rPr>
                <w:spacing w:val="-6"/>
                <w:szCs w:val="21"/>
              </w:rPr>
              <w:t>面积（m</w:t>
            </w:r>
            <w:r>
              <w:rPr>
                <w:spacing w:val="-6"/>
                <w:szCs w:val="21"/>
                <w:vertAlign w:val="superscript"/>
              </w:rPr>
              <w:t>2</w:t>
            </w:r>
            <w:r>
              <w:rPr>
                <w:spacing w:val="-6"/>
                <w:szCs w:val="21"/>
              </w:rPr>
              <w:t>）</w:t>
            </w:r>
          </w:p>
        </w:tc>
        <w:tc>
          <w:tcPr>
            <w:tcW w:w="2639" w:type="dxa"/>
            <w:vAlign w:val="center"/>
          </w:tcPr>
          <w:p>
            <w:pPr>
              <w:adjustRightInd w:val="0"/>
              <w:snapToGrid w:val="0"/>
              <w:jc w:val="center"/>
              <w:rPr>
                <w:rFonts w:hint="default" w:eastAsia="宋体"/>
                <w:szCs w:val="21"/>
                <w:lang w:val="en-US" w:eastAsia="zh-CN"/>
              </w:rPr>
            </w:pPr>
            <w:r>
              <w:rPr>
                <w:rFonts w:hint="eastAsia"/>
                <w:szCs w:val="21"/>
                <w:lang w:val="en-US" w:eastAsia="zh-CN"/>
              </w:rPr>
              <w:t>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60" w:type="dxa"/>
            <w:vAlign w:val="center"/>
          </w:tcPr>
          <w:p>
            <w:pPr>
              <w:autoSpaceDE w:val="0"/>
              <w:autoSpaceDN w:val="0"/>
              <w:adjustRightInd w:val="0"/>
              <w:snapToGrid w:val="0"/>
              <w:jc w:val="center"/>
              <w:rPr>
                <w:kern w:val="0"/>
                <w:szCs w:val="21"/>
              </w:rPr>
            </w:pPr>
            <w:r>
              <w:rPr>
                <w:kern w:val="0"/>
                <w:szCs w:val="21"/>
              </w:rPr>
              <w:t>专项评价设置情况</w:t>
            </w:r>
          </w:p>
        </w:tc>
        <w:tc>
          <w:tcPr>
            <w:tcW w:w="7210" w:type="dxa"/>
            <w:gridSpan w:val="3"/>
            <w:vAlign w:val="center"/>
          </w:tcPr>
          <w:p>
            <w:pPr>
              <w:autoSpaceDE w:val="0"/>
              <w:autoSpaceDN w:val="0"/>
              <w:adjustRightInd w:val="0"/>
              <w:snapToGrid w:val="0"/>
              <w:jc w:val="center"/>
              <w:rPr>
                <w:rFonts w:eastAsia="Calibri"/>
                <w:kern w:val="0"/>
                <w:szCs w:val="21"/>
              </w:rPr>
            </w:pPr>
            <w:r>
              <w:rPr>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660" w:type="dxa"/>
            <w:vAlign w:val="center"/>
          </w:tcPr>
          <w:p>
            <w:pPr>
              <w:autoSpaceDE w:val="0"/>
              <w:autoSpaceDN w:val="0"/>
              <w:adjustRightInd w:val="0"/>
              <w:snapToGrid w:val="0"/>
              <w:jc w:val="center"/>
              <w:rPr>
                <w:kern w:val="0"/>
                <w:szCs w:val="21"/>
              </w:rPr>
            </w:pPr>
            <w:r>
              <w:rPr>
                <w:szCs w:val="21"/>
              </w:rPr>
              <w:t>规划情况</w:t>
            </w:r>
          </w:p>
        </w:tc>
        <w:tc>
          <w:tcPr>
            <w:tcW w:w="7210" w:type="dxa"/>
            <w:gridSpan w:val="3"/>
            <w:vAlign w:val="center"/>
          </w:tcPr>
          <w:p>
            <w:pPr>
              <w:pStyle w:val="32"/>
              <w:spacing w:line="356" w:lineRule="auto"/>
              <w:jc w:val="left"/>
              <w:rPr>
                <w:spacing w:val="-2"/>
                <w:szCs w:val="21"/>
              </w:rPr>
            </w:pPr>
            <w:r>
              <w:rPr>
                <w:rFonts w:hint="eastAsia"/>
                <w:spacing w:val="-2"/>
                <w:szCs w:val="21"/>
                <w:lang w:val="en-US" w:eastAsia="zh-CN"/>
              </w:rPr>
              <w:t>1、</w:t>
            </w:r>
            <w:r>
              <w:rPr>
                <w:spacing w:val="-2"/>
                <w:szCs w:val="21"/>
              </w:rPr>
              <w:t>规划名称：</w:t>
            </w:r>
            <w:r>
              <w:rPr>
                <w:rFonts w:hint="eastAsia"/>
                <w:spacing w:val="-2"/>
                <w:szCs w:val="21"/>
              </w:rPr>
              <w:t>《省政府关于同意设立武进高新技术产业开发区的批复》</w:t>
            </w:r>
          </w:p>
          <w:p>
            <w:pPr>
              <w:pStyle w:val="32"/>
              <w:spacing w:line="356" w:lineRule="auto"/>
              <w:jc w:val="left"/>
              <w:rPr>
                <w:rFonts w:hint="default" w:eastAsia="宋体"/>
                <w:szCs w:val="21"/>
                <w:lang w:val="en-US" w:eastAsia="zh-CN"/>
              </w:rPr>
            </w:pPr>
            <w:r>
              <w:rPr>
                <w:spacing w:val="-2"/>
                <w:szCs w:val="21"/>
              </w:rPr>
              <w:t>审批机关：</w:t>
            </w:r>
            <w:r>
              <w:rPr>
                <w:rFonts w:hint="eastAsia"/>
                <w:spacing w:val="-2"/>
                <w:szCs w:val="21"/>
                <w:lang w:val="en-US" w:eastAsia="zh-CN"/>
              </w:rPr>
              <w:t>江苏省人民政府</w:t>
            </w:r>
          </w:p>
          <w:p>
            <w:pPr>
              <w:pStyle w:val="32"/>
              <w:spacing w:line="356" w:lineRule="auto"/>
              <w:jc w:val="left"/>
              <w:rPr>
                <w:rFonts w:hint="eastAsia"/>
                <w:spacing w:val="-2"/>
                <w:szCs w:val="21"/>
              </w:rPr>
            </w:pPr>
            <w:r>
              <w:rPr>
                <w:spacing w:val="-2"/>
                <w:szCs w:val="21"/>
              </w:rPr>
              <w:t>审批文件名称及文号：</w:t>
            </w:r>
            <w:r>
              <w:rPr>
                <w:rFonts w:hint="eastAsia"/>
                <w:spacing w:val="-2"/>
                <w:szCs w:val="21"/>
              </w:rPr>
              <w:t>苏政复[1996]号</w:t>
            </w:r>
          </w:p>
          <w:p>
            <w:pPr>
              <w:pStyle w:val="32"/>
              <w:spacing w:line="356" w:lineRule="auto"/>
              <w:jc w:val="left"/>
              <w:rPr>
                <w:spacing w:val="-2"/>
                <w:szCs w:val="21"/>
              </w:rPr>
            </w:pPr>
            <w:r>
              <w:rPr>
                <w:rFonts w:hint="eastAsia"/>
                <w:spacing w:val="-2"/>
                <w:szCs w:val="21"/>
                <w:lang w:val="en-US" w:eastAsia="zh-CN"/>
              </w:rPr>
              <w:t>2、</w:t>
            </w:r>
            <w:r>
              <w:rPr>
                <w:spacing w:val="-2"/>
                <w:szCs w:val="21"/>
              </w:rPr>
              <w:t>规划名称：</w:t>
            </w:r>
            <w:r>
              <w:rPr>
                <w:rFonts w:hint="eastAsia"/>
                <w:spacing w:val="-2"/>
                <w:szCs w:val="21"/>
              </w:rPr>
              <w:t>《国务院关于同意武进高新技术产业园区升级为国家高新技术产业开发区的批复》</w:t>
            </w:r>
          </w:p>
          <w:p>
            <w:pPr>
              <w:pStyle w:val="32"/>
              <w:spacing w:line="356" w:lineRule="auto"/>
              <w:jc w:val="left"/>
              <w:rPr>
                <w:rFonts w:hint="default" w:eastAsia="宋体"/>
                <w:szCs w:val="21"/>
                <w:lang w:val="en-US" w:eastAsia="zh-CN"/>
              </w:rPr>
            </w:pPr>
            <w:r>
              <w:rPr>
                <w:spacing w:val="-2"/>
                <w:szCs w:val="21"/>
              </w:rPr>
              <w:t>审批机关：</w:t>
            </w:r>
            <w:r>
              <w:rPr>
                <w:rFonts w:hint="eastAsia"/>
                <w:spacing w:val="-2"/>
                <w:szCs w:val="21"/>
                <w:lang w:val="en-US" w:eastAsia="zh-CN"/>
              </w:rPr>
              <w:t>国务院</w:t>
            </w:r>
          </w:p>
          <w:p>
            <w:pPr>
              <w:pStyle w:val="32"/>
              <w:spacing w:line="356" w:lineRule="auto"/>
              <w:jc w:val="left"/>
              <w:rPr>
                <w:rFonts w:hint="eastAsia"/>
                <w:spacing w:val="-2"/>
                <w:szCs w:val="21"/>
              </w:rPr>
            </w:pPr>
            <w:r>
              <w:rPr>
                <w:spacing w:val="-2"/>
                <w:szCs w:val="21"/>
              </w:rPr>
              <w:t>审批文件名称及文号：</w:t>
            </w:r>
            <w:r>
              <w:rPr>
                <w:rFonts w:hint="eastAsia"/>
                <w:spacing w:val="-2"/>
                <w:szCs w:val="21"/>
              </w:rPr>
              <w:t>国函[2012]108号</w:t>
            </w:r>
          </w:p>
          <w:p>
            <w:pPr>
              <w:pStyle w:val="32"/>
              <w:spacing w:line="356" w:lineRule="auto"/>
              <w:jc w:val="left"/>
              <w:rPr>
                <w:spacing w:val="-2"/>
                <w:szCs w:val="21"/>
              </w:rPr>
            </w:pPr>
            <w:r>
              <w:rPr>
                <w:rFonts w:hint="eastAsia"/>
                <w:spacing w:val="-2"/>
                <w:szCs w:val="21"/>
                <w:lang w:val="en-US" w:eastAsia="zh-CN"/>
              </w:rPr>
              <w:t>3、</w:t>
            </w:r>
            <w:r>
              <w:rPr>
                <w:spacing w:val="-2"/>
                <w:szCs w:val="21"/>
              </w:rPr>
              <w:t>规划名称：</w:t>
            </w:r>
            <w:r>
              <w:rPr>
                <w:rFonts w:hint="eastAsia"/>
                <w:spacing w:val="-2"/>
                <w:szCs w:val="21"/>
              </w:rPr>
              <w:t>《武进国家高新技术产业开发区关于优化调整规划面积和范围的请示》</w:t>
            </w:r>
          </w:p>
          <w:p>
            <w:pPr>
              <w:pStyle w:val="32"/>
              <w:spacing w:line="356" w:lineRule="auto"/>
              <w:jc w:val="left"/>
              <w:rPr>
                <w:rFonts w:hint="default" w:eastAsia="宋体"/>
                <w:szCs w:val="21"/>
                <w:lang w:val="en-US" w:eastAsia="zh-CN"/>
              </w:rPr>
            </w:pPr>
            <w:r>
              <w:rPr>
                <w:spacing w:val="-2"/>
                <w:szCs w:val="21"/>
              </w:rPr>
              <w:t>审批机关</w:t>
            </w:r>
            <w:r>
              <w:rPr>
                <w:rFonts w:hint="eastAsia"/>
                <w:spacing w:val="-2"/>
                <w:szCs w:val="21"/>
              </w:rPr>
              <w:t>：武进国家高新技术产业开发区管理委员会</w:t>
            </w:r>
          </w:p>
          <w:p>
            <w:pPr>
              <w:pStyle w:val="32"/>
              <w:spacing w:line="356" w:lineRule="auto"/>
              <w:jc w:val="left"/>
              <w:rPr>
                <w:rFonts w:hint="eastAsia"/>
                <w:spacing w:val="-2"/>
                <w:szCs w:val="21"/>
              </w:rPr>
            </w:pPr>
            <w:r>
              <w:rPr>
                <w:spacing w:val="-2"/>
                <w:szCs w:val="21"/>
              </w:rPr>
              <w:t>审批文件名称及文号</w:t>
            </w:r>
            <w:r>
              <w:rPr>
                <w:rFonts w:hint="eastAsia"/>
                <w:spacing w:val="-2"/>
                <w:szCs w:val="21"/>
              </w:rPr>
              <w:t>：武新区委请〔2023〕6号</w:t>
            </w:r>
          </w:p>
          <w:p>
            <w:pPr>
              <w:pStyle w:val="32"/>
              <w:spacing w:line="356" w:lineRule="auto"/>
              <w:jc w:val="left"/>
              <w:rPr>
                <w:rFonts w:hint="eastAsia"/>
                <w:spacing w:val="-2"/>
                <w:szCs w:val="21"/>
              </w:rPr>
            </w:pPr>
            <w:r>
              <w:rPr>
                <w:rFonts w:hint="eastAsia"/>
                <w:spacing w:val="-2"/>
                <w:szCs w:val="21"/>
                <w:lang w:val="en-US" w:eastAsia="zh-CN"/>
              </w:rPr>
              <w:t>4、</w:t>
            </w:r>
            <w:r>
              <w:rPr>
                <w:spacing w:val="-2"/>
                <w:szCs w:val="21"/>
              </w:rPr>
              <w:t>规划名称：</w:t>
            </w:r>
            <w:r>
              <w:rPr>
                <w:rFonts w:hint="eastAsia"/>
                <w:spacing w:val="-2"/>
                <w:szCs w:val="21"/>
              </w:rPr>
              <w:t>《常州市武进区人民政府关于同意武进国家高新技术产业开发区优化调整规划面积和范围的批复》</w:t>
            </w:r>
          </w:p>
          <w:p>
            <w:pPr>
              <w:pStyle w:val="32"/>
              <w:spacing w:line="356" w:lineRule="auto"/>
              <w:jc w:val="left"/>
              <w:rPr>
                <w:rFonts w:hint="default" w:eastAsia="宋体"/>
                <w:szCs w:val="21"/>
                <w:lang w:val="en-US" w:eastAsia="zh-CN"/>
              </w:rPr>
            </w:pPr>
            <w:r>
              <w:rPr>
                <w:spacing w:val="-2"/>
                <w:szCs w:val="21"/>
              </w:rPr>
              <w:t>审批机关</w:t>
            </w:r>
            <w:r>
              <w:rPr>
                <w:rFonts w:hint="eastAsia"/>
                <w:spacing w:val="-2"/>
                <w:szCs w:val="21"/>
              </w:rPr>
              <w:t>：武进国家高新技术产业开发区管理委员会</w:t>
            </w:r>
          </w:p>
          <w:p>
            <w:pPr>
              <w:pStyle w:val="9"/>
              <w:numPr>
                <w:ilvl w:val="0"/>
                <w:numId w:val="0"/>
              </w:numPr>
              <w:jc w:val="left"/>
              <w:rPr>
                <w:rFonts w:hint="eastAsia"/>
                <w:spacing w:val="-2"/>
                <w:szCs w:val="21"/>
              </w:rPr>
            </w:pPr>
            <w:r>
              <w:rPr>
                <w:spacing w:val="-2"/>
                <w:szCs w:val="21"/>
              </w:rPr>
              <w:t>审批文件名称及文号</w:t>
            </w:r>
            <w:r>
              <w:rPr>
                <w:rFonts w:hint="eastAsia"/>
                <w:spacing w:val="-2"/>
                <w:szCs w:val="21"/>
              </w:rPr>
              <w:t>：武新区委请〔2023〕6号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660" w:type="dxa"/>
            <w:vAlign w:val="center"/>
          </w:tcPr>
          <w:p>
            <w:pPr>
              <w:adjustRightInd w:val="0"/>
              <w:snapToGrid w:val="0"/>
              <w:jc w:val="center"/>
              <w:rPr>
                <w:szCs w:val="21"/>
              </w:rPr>
            </w:pPr>
            <w:r>
              <w:rPr>
                <w:szCs w:val="21"/>
              </w:rPr>
              <w:t>规划环境影响</w:t>
            </w:r>
          </w:p>
          <w:p>
            <w:pPr>
              <w:adjustRightInd w:val="0"/>
              <w:snapToGrid w:val="0"/>
              <w:jc w:val="center"/>
              <w:rPr>
                <w:kern w:val="0"/>
                <w:szCs w:val="21"/>
              </w:rPr>
            </w:pPr>
            <w:r>
              <w:rPr>
                <w:szCs w:val="21"/>
              </w:rPr>
              <w:t>评价情况</w:t>
            </w:r>
          </w:p>
        </w:tc>
        <w:tc>
          <w:tcPr>
            <w:tcW w:w="7210" w:type="dxa"/>
            <w:gridSpan w:val="3"/>
            <w:vAlign w:val="center"/>
          </w:tcPr>
          <w:p>
            <w:pPr>
              <w:pStyle w:val="8"/>
              <w:snapToGrid/>
              <w:spacing w:before="0" w:after="0" w:line="360" w:lineRule="auto"/>
              <w:ind w:right="0"/>
              <w:jc w:val="left"/>
              <w:rPr>
                <w:sz w:val="21"/>
                <w:szCs w:val="21"/>
              </w:rPr>
            </w:pPr>
            <w:r>
              <w:rPr>
                <w:sz w:val="21"/>
                <w:szCs w:val="21"/>
              </w:rPr>
              <w:t>文件名称：</w:t>
            </w:r>
            <w:r>
              <w:rPr>
                <w:rFonts w:hint="eastAsia"/>
                <w:sz w:val="21"/>
                <w:szCs w:val="21"/>
              </w:rPr>
              <w:t>《武进国家高新技术产业开发区发展规划（2022-2035年）环境影响报告书》</w:t>
            </w:r>
          </w:p>
          <w:p>
            <w:pPr>
              <w:pStyle w:val="8"/>
              <w:snapToGrid/>
              <w:spacing w:before="0" w:after="0" w:line="360" w:lineRule="auto"/>
              <w:ind w:right="0"/>
              <w:jc w:val="left"/>
              <w:rPr>
                <w:sz w:val="21"/>
                <w:szCs w:val="21"/>
              </w:rPr>
            </w:pPr>
            <w:r>
              <w:rPr>
                <w:rFonts w:hint="eastAsia"/>
                <w:sz w:val="21"/>
                <w:szCs w:val="21"/>
              </w:rPr>
              <w:t>规划环评召集审查机关</w:t>
            </w:r>
            <w:r>
              <w:rPr>
                <w:sz w:val="21"/>
                <w:szCs w:val="21"/>
              </w:rPr>
              <w:t>：</w:t>
            </w:r>
            <w:r>
              <w:rPr>
                <w:rFonts w:hint="eastAsia"/>
                <w:sz w:val="21"/>
                <w:szCs w:val="21"/>
              </w:rPr>
              <w:t>江苏省生态环境厅</w:t>
            </w:r>
          </w:p>
          <w:p>
            <w:pPr>
              <w:pStyle w:val="8"/>
              <w:snapToGrid/>
              <w:spacing w:before="0" w:after="0" w:line="240" w:lineRule="auto"/>
              <w:ind w:right="0"/>
              <w:jc w:val="left"/>
              <w:rPr>
                <w:szCs w:val="21"/>
              </w:rPr>
            </w:pPr>
            <w:r>
              <w:rPr>
                <w:sz w:val="21"/>
                <w:szCs w:val="21"/>
              </w:rPr>
              <w:t>审查文件名称及文号：</w:t>
            </w:r>
            <w:r>
              <w:rPr>
                <w:rFonts w:hint="eastAsia"/>
                <w:sz w:val="21"/>
                <w:szCs w:val="21"/>
              </w:rPr>
              <w:t>关于《武进国家高新技术产业开发区发展</w:t>
            </w:r>
            <w:r>
              <w:rPr>
                <w:rFonts w:hint="eastAsia"/>
                <w:sz w:val="21"/>
                <w:szCs w:val="21"/>
                <w:lang w:val="en-US" w:eastAsia="zh-CN"/>
              </w:rPr>
              <w:t>规划</w:t>
            </w:r>
            <w:r>
              <w:rPr>
                <w:rFonts w:hint="eastAsia"/>
                <w:sz w:val="21"/>
                <w:szCs w:val="21"/>
              </w:rPr>
              <w:t>（2022-2035年）环境影响报告书》的审查意见（苏环审〔2023〕61号）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1660" w:type="dxa"/>
            <w:vAlign w:val="center"/>
          </w:tcPr>
          <w:p>
            <w:pPr>
              <w:autoSpaceDE w:val="0"/>
              <w:autoSpaceDN w:val="0"/>
              <w:adjustRightInd w:val="0"/>
              <w:snapToGrid w:val="0"/>
              <w:jc w:val="center"/>
              <w:rPr>
                <w:kern w:val="0"/>
                <w:szCs w:val="21"/>
              </w:rPr>
            </w:pPr>
            <w:r>
              <w:rPr>
                <w:kern w:val="0"/>
                <w:szCs w:val="21"/>
              </w:rPr>
              <w:t>规划及规划环境影响评价符合性分析</w:t>
            </w:r>
          </w:p>
        </w:tc>
        <w:tc>
          <w:tcPr>
            <w:tcW w:w="7210" w:type="dxa"/>
            <w:gridSpan w:val="3"/>
            <w:vAlign w:val="center"/>
          </w:tcPr>
          <w:p>
            <w:pPr>
              <w:autoSpaceDE w:val="0"/>
              <w:autoSpaceDN w:val="0"/>
              <w:spacing w:line="360" w:lineRule="auto"/>
              <w:jc w:val="left"/>
              <w:rPr>
                <w:b/>
                <w:bCs/>
              </w:rPr>
            </w:pPr>
            <w:r>
              <w:rPr>
                <w:b/>
                <w:bCs/>
              </w:rPr>
              <w:t>一、</w:t>
            </w:r>
            <w:r>
              <w:rPr>
                <w:rFonts w:hint="eastAsia"/>
                <w:b/>
                <w:bCs/>
              </w:rPr>
              <w:t>与《武进国家高新技术产业开发区发展规划（2022-2035年）环境影响报告书》相符性分析</w:t>
            </w:r>
          </w:p>
          <w:p>
            <w:pPr>
              <w:autoSpaceDE w:val="0"/>
              <w:autoSpaceDN w:val="0"/>
              <w:spacing w:line="360" w:lineRule="auto"/>
              <w:ind w:firstLine="422" w:firstLineChars="200"/>
              <w:jc w:val="left"/>
              <w:rPr>
                <w:rFonts w:hint="eastAsia"/>
                <w:b/>
                <w:bCs/>
              </w:rPr>
            </w:pPr>
            <w:r>
              <w:rPr>
                <w:rFonts w:hint="eastAsia"/>
                <w:b/>
                <w:bCs/>
              </w:rPr>
              <w:t>规划范围和时限：</w:t>
            </w:r>
          </w:p>
          <w:p>
            <w:pPr>
              <w:autoSpaceDE w:val="0"/>
              <w:autoSpaceDN w:val="0"/>
              <w:spacing w:line="360" w:lineRule="auto"/>
              <w:ind w:firstLine="420" w:firstLineChars="200"/>
              <w:jc w:val="left"/>
              <w:rPr>
                <w:rFonts w:hint="eastAsia"/>
              </w:rPr>
            </w:pPr>
            <w:r>
              <w:rPr>
                <w:rFonts w:hint="eastAsia"/>
              </w:rPr>
              <w:t>规划范围包括北区和南区，总面积57.67km</w:t>
            </w:r>
            <w:r>
              <w:rPr>
                <w:rFonts w:hint="eastAsia"/>
                <w:vertAlign w:val="superscript"/>
              </w:rPr>
              <w:t>2</w:t>
            </w:r>
            <w:r>
              <w:rPr>
                <w:rFonts w:hint="eastAsia"/>
              </w:rPr>
              <w:t>。</w:t>
            </w:r>
          </w:p>
          <w:p>
            <w:pPr>
              <w:autoSpaceDE w:val="0"/>
              <w:autoSpaceDN w:val="0"/>
              <w:spacing w:line="360" w:lineRule="auto"/>
              <w:ind w:firstLine="420" w:firstLineChars="200"/>
              <w:jc w:val="left"/>
              <w:rPr>
                <w:rFonts w:hint="eastAsia"/>
              </w:rPr>
            </w:pPr>
            <w:r>
              <w:rPr>
                <w:rFonts w:hint="eastAsia"/>
              </w:rPr>
              <w:t>北区：东至夏城路，南至广电路，西至降子路，北至东方路，规划总面积为2.25平方公里。</w:t>
            </w:r>
          </w:p>
          <w:p>
            <w:pPr>
              <w:autoSpaceDE w:val="0"/>
              <w:autoSpaceDN w:val="0"/>
              <w:spacing w:line="360" w:lineRule="auto"/>
              <w:ind w:firstLine="420" w:firstLineChars="200"/>
              <w:jc w:val="left"/>
              <w:rPr>
                <w:rFonts w:hint="eastAsia"/>
              </w:rPr>
            </w:pPr>
            <w:r>
              <w:rPr>
                <w:rFonts w:hint="eastAsia"/>
              </w:rPr>
              <w:t>南区：东至夏城南路-常武南路，南至景德路-凤林路-敬业河，西至武宜运河-常泰高速公路，北至武南路，规划总面积为55.42平方公里。</w:t>
            </w:r>
          </w:p>
          <w:p>
            <w:pPr>
              <w:autoSpaceDE w:val="0"/>
              <w:autoSpaceDN w:val="0"/>
              <w:spacing w:line="360" w:lineRule="auto"/>
              <w:ind w:firstLine="420" w:firstLineChars="200"/>
              <w:jc w:val="left"/>
              <w:rPr>
                <w:rFonts w:hint="eastAsia"/>
              </w:rPr>
            </w:pPr>
            <w:r>
              <w:rPr>
                <w:rFonts w:hint="eastAsia"/>
              </w:rPr>
              <w:t>规划期限：2022-2035年，其中近期至2025年，远期至2035年。</w:t>
            </w:r>
          </w:p>
          <w:p>
            <w:pPr>
              <w:autoSpaceDE w:val="0"/>
              <w:autoSpaceDN w:val="0"/>
              <w:spacing w:line="360" w:lineRule="auto"/>
              <w:ind w:firstLine="422" w:firstLineChars="200"/>
              <w:jc w:val="left"/>
              <w:rPr>
                <w:rFonts w:hint="eastAsia"/>
                <w:b/>
                <w:bCs/>
              </w:rPr>
            </w:pPr>
            <w:r>
              <w:rPr>
                <w:rFonts w:hint="eastAsia"/>
                <w:b/>
                <w:bCs/>
              </w:rPr>
              <w:t>本项目位于江苏省常州市武进国家高新技术产业开发区龙逸路76号，属于武进国家高新技术产业开发区规划范围内。对照企业提供的</w:t>
            </w:r>
            <w:r>
              <w:rPr>
                <w:rFonts w:hint="eastAsia"/>
                <w:b/>
                <w:bCs/>
                <w:lang w:val="en-US" w:eastAsia="zh-CN"/>
              </w:rPr>
              <w:t>租赁厂房的</w:t>
            </w:r>
            <w:r>
              <w:rPr>
                <w:rFonts w:hint="eastAsia"/>
                <w:b/>
                <w:bCs/>
              </w:rPr>
              <w:t>不动产权证（苏（202</w:t>
            </w:r>
            <w:r>
              <w:rPr>
                <w:rFonts w:hint="eastAsia"/>
                <w:b/>
                <w:bCs/>
                <w:lang w:val="en-US" w:eastAsia="zh-CN"/>
              </w:rPr>
              <w:t>3</w:t>
            </w:r>
            <w:r>
              <w:rPr>
                <w:rFonts w:hint="eastAsia"/>
                <w:b/>
                <w:bCs/>
              </w:rPr>
              <w:t>）</w:t>
            </w:r>
            <w:r>
              <w:rPr>
                <w:rFonts w:hint="eastAsia"/>
                <w:b/>
                <w:bCs/>
                <w:lang w:val="en-US" w:eastAsia="zh-CN"/>
              </w:rPr>
              <w:t>常州市</w:t>
            </w:r>
            <w:r>
              <w:rPr>
                <w:rFonts w:hint="eastAsia"/>
                <w:b/>
                <w:bCs/>
              </w:rPr>
              <w:t>不动产权第</w:t>
            </w:r>
            <w:r>
              <w:rPr>
                <w:rFonts w:hint="eastAsia"/>
                <w:b/>
                <w:bCs/>
                <w:lang w:val="en-US" w:eastAsia="zh-CN"/>
              </w:rPr>
              <w:t>0166871</w:t>
            </w:r>
            <w:r>
              <w:rPr>
                <w:rFonts w:hint="eastAsia"/>
                <w:b/>
                <w:bCs/>
              </w:rPr>
              <w:t>号）、《武进国家高新技术产业开发区规划远期（至203</w:t>
            </w:r>
            <w:r>
              <w:rPr>
                <w:rFonts w:hint="eastAsia"/>
                <w:b/>
                <w:bCs/>
                <w:lang w:val="en-US" w:eastAsia="zh-CN"/>
              </w:rPr>
              <w:t>0</w:t>
            </w:r>
            <w:r>
              <w:rPr>
                <w:rFonts w:hint="eastAsia"/>
                <w:b/>
                <w:bCs/>
              </w:rPr>
              <w:t>年）用地规划图》， 本项目所在地为工业用地，符合区域用地规划要求。</w:t>
            </w:r>
          </w:p>
          <w:p>
            <w:pPr>
              <w:autoSpaceDE w:val="0"/>
              <w:autoSpaceDN w:val="0"/>
              <w:spacing w:line="360" w:lineRule="auto"/>
              <w:ind w:firstLine="422" w:firstLineChars="200"/>
              <w:jc w:val="left"/>
              <w:rPr>
                <w:b/>
                <w:bCs/>
              </w:rPr>
            </w:pPr>
            <w:r>
              <w:rPr>
                <w:rFonts w:hint="eastAsia"/>
                <w:b/>
                <w:bCs/>
              </w:rPr>
              <w:t>本项目选址在国控站点3公里范围外，距离最近的武进区国控站点（武进生态环境局南楼）8.05公里</w:t>
            </w:r>
            <w:r>
              <w:rPr>
                <w:b/>
                <w:bCs/>
              </w:rPr>
              <w:t>。</w:t>
            </w:r>
          </w:p>
          <w:p>
            <w:pPr>
              <w:autoSpaceDE w:val="0"/>
              <w:autoSpaceDN w:val="0"/>
              <w:spacing w:line="360" w:lineRule="auto"/>
              <w:ind w:firstLine="422" w:firstLineChars="200"/>
              <w:jc w:val="left"/>
              <w:rPr>
                <w:rFonts w:hint="eastAsia"/>
                <w:b/>
                <w:bCs/>
              </w:rPr>
            </w:pPr>
            <w:r>
              <w:rPr>
                <w:rFonts w:hint="eastAsia"/>
                <w:b/>
                <w:bCs/>
              </w:rPr>
              <w:t>功能布局：</w:t>
            </w:r>
          </w:p>
          <w:p>
            <w:pPr>
              <w:autoSpaceDE w:val="0"/>
              <w:autoSpaceDN w:val="0"/>
              <w:spacing w:line="360" w:lineRule="auto"/>
              <w:ind w:firstLine="420" w:firstLineChars="200"/>
              <w:jc w:val="left"/>
              <w:rPr>
                <w:rFonts w:hint="eastAsia"/>
              </w:rPr>
            </w:pPr>
            <w:r>
              <w:rPr>
                <w:rFonts w:hint="eastAsia"/>
              </w:rPr>
              <w:t>规划范围总体形成“一心一带、两轴五片”的总体空间结构。</w:t>
            </w:r>
          </w:p>
          <w:p>
            <w:pPr>
              <w:autoSpaceDE w:val="0"/>
              <w:autoSpaceDN w:val="0"/>
              <w:spacing w:line="360" w:lineRule="auto"/>
              <w:ind w:firstLine="420" w:firstLineChars="200"/>
              <w:jc w:val="left"/>
              <w:rPr>
                <w:rFonts w:hint="eastAsia"/>
              </w:rPr>
            </w:pPr>
            <w:r>
              <w:rPr>
                <w:rFonts w:hint="eastAsia"/>
              </w:rPr>
              <w:t>一心：西太湖休闲宜居中心，结合自然水系和</w:t>
            </w:r>
            <w:r>
              <w:rPr>
                <w:rFonts w:hint="eastAsia"/>
                <w:lang w:eastAsia="zh-CN"/>
              </w:rPr>
              <w:t>武南</w:t>
            </w:r>
            <w:r>
              <w:rPr>
                <w:rFonts w:hint="eastAsia"/>
              </w:rPr>
              <w:t>原生态环境，建设集高端居住、行政办公、文化休闲、总部经济、商业商务等功能于一体的核心地区，打造“宜居美丽、创新创业、智能智慧”的常州南部</w:t>
            </w:r>
            <w:r>
              <w:rPr>
                <w:rFonts w:hint="eastAsia"/>
                <w:lang w:eastAsia="zh-CN"/>
              </w:rPr>
              <w:t>武南</w:t>
            </w:r>
            <w:r>
              <w:rPr>
                <w:rFonts w:hint="eastAsia"/>
              </w:rPr>
              <w:t>新城。</w:t>
            </w:r>
          </w:p>
          <w:p>
            <w:pPr>
              <w:autoSpaceDE w:val="0"/>
              <w:autoSpaceDN w:val="0"/>
              <w:spacing w:line="360" w:lineRule="auto"/>
              <w:ind w:firstLine="420" w:firstLineChars="200"/>
              <w:jc w:val="left"/>
              <w:rPr>
                <w:rFonts w:hint="eastAsia"/>
              </w:rPr>
            </w:pPr>
            <w:r>
              <w:rPr>
                <w:rFonts w:hint="eastAsia"/>
              </w:rPr>
              <w:t>一带：</w:t>
            </w:r>
            <w:r>
              <w:rPr>
                <w:rFonts w:hint="eastAsia"/>
                <w:lang w:eastAsia="zh-CN"/>
              </w:rPr>
              <w:t>武南</w:t>
            </w:r>
            <w:r>
              <w:rPr>
                <w:rFonts w:hint="eastAsia"/>
              </w:rPr>
              <w:t>经济发展带，坚持“绿色发展”理念，探索经济社会发展、城市建设与生态保护相统一的新路子，推动</w:t>
            </w:r>
            <w:r>
              <w:rPr>
                <w:rFonts w:hint="eastAsia"/>
                <w:lang w:eastAsia="zh-CN"/>
              </w:rPr>
              <w:t>武南</w:t>
            </w:r>
            <w:r>
              <w:rPr>
                <w:rFonts w:hint="eastAsia"/>
              </w:rPr>
              <w:t>片区高质量、高品质发展。</w:t>
            </w:r>
          </w:p>
          <w:p>
            <w:pPr>
              <w:autoSpaceDE w:val="0"/>
              <w:autoSpaceDN w:val="0"/>
              <w:spacing w:line="360" w:lineRule="auto"/>
              <w:ind w:firstLine="420" w:firstLineChars="200"/>
              <w:jc w:val="left"/>
              <w:rPr>
                <w:rFonts w:hint="eastAsia"/>
              </w:rPr>
            </w:pPr>
            <w:r>
              <w:rPr>
                <w:rFonts w:hint="eastAsia"/>
              </w:rPr>
              <w:t>两轴：沿武宜路形成的城市综合发展轴，沿武进大道形成的城市功能发展轴。</w:t>
            </w:r>
          </w:p>
          <w:p>
            <w:pPr>
              <w:autoSpaceDE w:val="0"/>
              <w:autoSpaceDN w:val="0"/>
              <w:spacing w:line="360" w:lineRule="auto"/>
              <w:ind w:firstLine="420" w:firstLineChars="200"/>
              <w:jc w:val="left"/>
            </w:pPr>
            <w:r>
              <w:rPr>
                <w:rFonts w:hint="eastAsia"/>
              </w:rPr>
              <w:t>五片：北部优化提升片区、中部城市功能片区、南部产业拓展片区、西部</w:t>
            </w:r>
            <w:r>
              <w:rPr>
                <w:rFonts w:hint="eastAsia"/>
                <w:lang w:eastAsia="zh-CN"/>
              </w:rPr>
              <w:t>武南</w:t>
            </w:r>
            <w:r>
              <w:rPr>
                <w:rFonts w:hint="eastAsia"/>
              </w:rPr>
              <w:t>品质片区和武进高新区北区。</w:t>
            </w:r>
          </w:p>
          <w:p>
            <w:pPr>
              <w:autoSpaceDE w:val="0"/>
              <w:autoSpaceDN w:val="0"/>
              <w:spacing w:line="360" w:lineRule="auto"/>
              <w:ind w:firstLine="422" w:firstLineChars="200"/>
              <w:jc w:val="left"/>
              <w:rPr>
                <w:rFonts w:hint="eastAsia"/>
                <w:b/>
                <w:bCs/>
              </w:rPr>
            </w:pPr>
            <w:r>
              <w:rPr>
                <w:rFonts w:hint="eastAsia"/>
                <w:b/>
                <w:bCs/>
              </w:rPr>
              <w:t>产业定位：</w:t>
            </w:r>
          </w:p>
          <w:p>
            <w:pPr>
              <w:autoSpaceDE w:val="0"/>
              <w:autoSpaceDN w:val="0"/>
              <w:spacing w:line="360" w:lineRule="auto"/>
              <w:ind w:firstLine="420" w:firstLineChars="200"/>
              <w:jc w:val="left"/>
            </w:pPr>
            <w:r>
              <w:rPr>
                <w:rFonts w:hint="eastAsia"/>
              </w:rPr>
              <w:t>基于产业发展趋势，结合武进国家高新区已有的产业发展基础，规划提出高新区未来重点发展高端装备制造产业、节能环保产业、电子和智能信息产业、新型交通产业四大主导产业。</w:t>
            </w:r>
          </w:p>
          <w:p>
            <w:pPr>
              <w:autoSpaceDE w:val="0"/>
              <w:autoSpaceDN w:val="0"/>
              <w:spacing w:line="360" w:lineRule="auto"/>
              <w:ind w:firstLine="422" w:firstLineChars="200"/>
              <w:jc w:val="left"/>
              <w:rPr>
                <w:rFonts w:hint="eastAsia"/>
              </w:rPr>
            </w:pPr>
            <w:r>
              <w:rPr>
                <w:rFonts w:hint="eastAsia"/>
                <w:b/>
                <w:bCs/>
              </w:rPr>
              <w:t>高端装备制造业：</w:t>
            </w:r>
            <w:r>
              <w:rPr>
                <w:rFonts w:hint="eastAsia"/>
              </w:rPr>
              <w:t>重点发展现代工程机械、数控机床、智能纺机、智能农机、机器人和关键零部件领域，积极探索智能制造集成服务，加快建设常州固立高端装备创新中心等创新载体建设，推动重点企业做大做强，成为全国有影响力的高端装备制造产业集聚地。</w:t>
            </w:r>
          </w:p>
          <w:p>
            <w:pPr>
              <w:autoSpaceDE w:val="0"/>
              <w:autoSpaceDN w:val="0"/>
              <w:spacing w:line="360" w:lineRule="auto"/>
              <w:ind w:firstLine="422" w:firstLineChars="200"/>
              <w:jc w:val="left"/>
              <w:rPr>
                <w:rFonts w:hint="eastAsia"/>
              </w:rPr>
            </w:pPr>
            <w:r>
              <w:rPr>
                <w:rFonts w:hint="eastAsia"/>
                <w:b/>
                <w:bCs/>
              </w:rPr>
              <w:t>节能环保产业：</w:t>
            </w:r>
            <w:r>
              <w:rPr>
                <w:rFonts w:hint="eastAsia"/>
              </w:rPr>
              <w:t>重点发展LED 照明、太阳能光伏、绿色电力装备等领域，积极拓展能源互联网领域，培育太阳能光伏等全国领军企业。重点发展LED照明，依托LED领域产业基础，做强现有照明产品优势产品，引导企业向白光OLED照明、Mini/Micro</w:t>
            </w:r>
            <w:r>
              <w:rPr>
                <w:rFonts w:hint="eastAsia"/>
                <w:lang w:val="en-US" w:eastAsia="zh-CN"/>
              </w:rPr>
              <w:t xml:space="preserve"> </w:t>
            </w:r>
            <w:r>
              <w:rPr>
                <w:rFonts w:hint="eastAsia"/>
              </w:rPr>
              <w:t>LED等前景较好的市场领域拓展。</w:t>
            </w:r>
          </w:p>
          <w:p>
            <w:pPr>
              <w:autoSpaceDE w:val="0"/>
              <w:autoSpaceDN w:val="0"/>
              <w:spacing w:line="360" w:lineRule="auto"/>
              <w:ind w:firstLine="422" w:firstLineChars="200"/>
              <w:jc w:val="left"/>
              <w:rPr>
                <w:rFonts w:hint="eastAsia"/>
              </w:rPr>
            </w:pPr>
            <w:r>
              <w:rPr>
                <w:rFonts w:hint="eastAsia"/>
                <w:b/>
                <w:bCs/>
              </w:rPr>
              <w:t>电子和智能信息产业：</w:t>
            </w:r>
            <w:r>
              <w:rPr>
                <w:rFonts w:hint="eastAsia"/>
              </w:rPr>
              <w:t>重点推动电子元器件等产品升级，积极向5G器件、通信终端设备和工业信息服务领域拓展，构建电子和智能信息产业差异化竞争优势。重点发展精密光学模组、微纳器件和微机电系统（MEMS）、片式陶瓷电容器、物联网通信模组等产品，拓展发展化合物射频芯片、集成电路设计、功率分立器件等领域。</w:t>
            </w:r>
          </w:p>
          <w:p>
            <w:pPr>
              <w:autoSpaceDE w:val="0"/>
              <w:autoSpaceDN w:val="0"/>
              <w:spacing w:line="360" w:lineRule="auto"/>
              <w:ind w:firstLine="422" w:firstLineChars="200"/>
              <w:jc w:val="left"/>
            </w:pPr>
            <w:r>
              <w:rPr>
                <w:rFonts w:hint="eastAsia"/>
                <w:b/>
                <w:bCs/>
              </w:rPr>
              <w:t>新型交通产业：</w:t>
            </w:r>
            <w:r>
              <w:rPr>
                <w:rFonts w:hint="eastAsia"/>
              </w:rPr>
              <w:t>重点发展轨道交通、智电汽车整车及零部件等领域，形成产业集聚优势。重点依托骨干企业，围绕轨道交通关键零部件领域，做强信号系统、机电系统产品；以理想制造等整车企业为龙头，引进和培育新能源汽车核心零部件企业，推动智电汽车产业链式集聚发展。</w:t>
            </w:r>
          </w:p>
          <w:p>
            <w:pPr>
              <w:autoSpaceDE w:val="0"/>
              <w:autoSpaceDN w:val="0"/>
              <w:spacing w:line="360" w:lineRule="auto"/>
              <w:ind w:firstLine="422" w:firstLineChars="200"/>
              <w:jc w:val="left"/>
              <w:rPr>
                <w:b/>
                <w:bCs/>
              </w:rPr>
            </w:pPr>
            <w:r>
              <w:rPr>
                <w:b/>
                <w:bCs/>
                <w:color w:val="000000" w:themeColor="text1"/>
                <w14:textFill>
                  <w14:solidFill>
                    <w14:schemeClr w14:val="tx1"/>
                  </w14:solidFill>
                </w14:textFill>
              </w:rPr>
              <w:t>本项目拟建地位于江苏省常州市武进国家高新技术产业开发区龙逸路76号，项目所在地为工业用地，本项目从事塑料薄膜制造，符合区域环评中的用地性质要求及产业定位，与区域环评相符。本项目污染物排放浓度均能达标，不会改变周边环境质量现状，对周边环境影响较小。因此，符合文件要求。本项目采用的工艺、使用的设备及生产的产品</w:t>
            </w:r>
            <w:r>
              <w:rPr>
                <w:b/>
                <w:bCs/>
              </w:rPr>
              <w:t>均不属于《产业结构调整指导目录（20</w:t>
            </w:r>
            <w:r>
              <w:rPr>
                <w:rFonts w:hint="eastAsia"/>
                <w:b/>
                <w:bCs/>
                <w:lang w:val="en-US" w:eastAsia="zh-CN"/>
              </w:rPr>
              <w:t>24</w:t>
            </w:r>
            <w:r>
              <w:rPr>
                <w:b/>
                <w:bCs/>
              </w:rPr>
              <w:t>年本）》中限制类和淘汰类项目。</w:t>
            </w:r>
          </w:p>
          <w:p>
            <w:pPr>
              <w:autoSpaceDE w:val="0"/>
              <w:autoSpaceDN w:val="0"/>
              <w:spacing w:line="360" w:lineRule="auto"/>
              <w:ind w:firstLine="422" w:firstLineChars="200"/>
              <w:jc w:val="left"/>
              <w:rPr>
                <w:b/>
                <w:bCs/>
              </w:rPr>
            </w:pPr>
            <w:r>
              <w:rPr>
                <w:b/>
                <w:bCs/>
              </w:rPr>
              <w:t>综上所述，建设项目选址合理，符合武进国家高新技术产业开发区规划环评要求。</w:t>
            </w:r>
          </w:p>
          <w:p>
            <w:pPr>
              <w:autoSpaceDE w:val="0"/>
              <w:autoSpaceDN w:val="0"/>
              <w:spacing w:line="360" w:lineRule="auto"/>
              <w:jc w:val="left"/>
              <w:rPr>
                <w:b/>
                <w:bCs/>
              </w:rPr>
            </w:pPr>
            <w:r>
              <w:rPr>
                <w:b/>
                <w:bCs/>
              </w:rPr>
              <w:t>二、</w:t>
            </w:r>
            <w:r>
              <w:rPr>
                <w:rFonts w:hint="eastAsia"/>
                <w:b/>
                <w:bCs/>
              </w:rPr>
              <w:t>与《武进国家高新技术产业开发区发展规划（2022-2035年）环境影响报告书》的审查意见（苏环审〔2023〕61号）相符性分析</w:t>
            </w:r>
          </w:p>
          <w:p>
            <w:pPr>
              <w:autoSpaceDE w:val="0"/>
              <w:autoSpaceDN w:val="0"/>
              <w:spacing w:line="360" w:lineRule="auto"/>
              <w:ind w:firstLine="422" w:firstLineChars="200"/>
              <w:jc w:val="center"/>
            </w:pPr>
            <w:r>
              <w:rPr>
                <w:b/>
                <w:bCs/>
              </w:rPr>
              <w:t>表1-1  与规划环境影响评价审查意见相符性分析对照表</w:t>
            </w:r>
          </w:p>
          <w:tbl>
            <w:tblPr>
              <w:tblStyle w:val="22"/>
              <w:tblW w:w="699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75"/>
              <w:gridCol w:w="20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75" w:type="dxa"/>
                  <w:vAlign w:val="center"/>
                </w:tcPr>
                <w:p>
                  <w:pPr>
                    <w:autoSpaceDE w:val="0"/>
                    <w:autoSpaceDN w:val="0"/>
                    <w:snapToGrid w:val="0"/>
                    <w:spacing w:line="320" w:lineRule="exact"/>
                    <w:jc w:val="center"/>
                    <w:rPr>
                      <w:b/>
                      <w:bCs/>
                    </w:rPr>
                  </w:pPr>
                  <w:r>
                    <w:rPr>
                      <w:b/>
                      <w:bCs/>
                    </w:rPr>
                    <w:t>相关意见</w:t>
                  </w:r>
                </w:p>
              </w:tc>
              <w:tc>
                <w:tcPr>
                  <w:tcW w:w="2019" w:type="dxa"/>
                  <w:tcMar>
                    <w:top w:w="0" w:type="dxa"/>
                    <w:left w:w="0" w:type="dxa"/>
                    <w:bottom w:w="0" w:type="dxa"/>
                    <w:right w:w="0" w:type="dxa"/>
                  </w:tcMar>
                  <w:vAlign w:val="center"/>
                </w:tcPr>
                <w:p>
                  <w:pPr>
                    <w:autoSpaceDE w:val="0"/>
                    <w:autoSpaceDN w:val="0"/>
                    <w:snapToGrid w:val="0"/>
                    <w:spacing w:line="320" w:lineRule="exact"/>
                    <w:jc w:val="center"/>
                    <w:rPr>
                      <w:b/>
                      <w:bCs/>
                    </w:rPr>
                  </w:pPr>
                  <w:r>
                    <w:rPr>
                      <w:b/>
                      <w:bCs/>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75" w:type="dxa"/>
                  <w:tcMar>
                    <w:top w:w="0" w:type="dxa"/>
                    <w:left w:w="0" w:type="dxa"/>
                    <w:bottom w:w="0" w:type="dxa"/>
                    <w:right w:w="0" w:type="dxa"/>
                  </w:tcMar>
                  <w:vAlign w:val="center"/>
                </w:tcPr>
                <w:p>
                  <w:pPr>
                    <w:autoSpaceDE w:val="0"/>
                    <w:autoSpaceDN w:val="0"/>
                    <w:snapToGrid w:val="0"/>
                    <w:spacing w:line="320" w:lineRule="exact"/>
                    <w:jc w:val="center"/>
                    <w:rPr>
                      <w:rFonts w:hint="eastAsia"/>
                    </w:rPr>
                  </w:pPr>
                  <w:r>
                    <w:rPr>
                      <w:rFonts w:hint="eastAsia"/>
                    </w:rPr>
                    <w:t>规划总面积57.68平方公里，分为南北两片区。其中，北区（区块二）范围东至夏城路，南至广电路，西至降子路，北至东方路，面积为2.25km</w:t>
                  </w:r>
                  <w:r>
                    <w:rPr>
                      <w:rFonts w:hint="eastAsia"/>
                      <w:vertAlign w:val="superscript"/>
                    </w:rPr>
                    <w:t>2</w:t>
                  </w:r>
                  <w:r>
                    <w:rPr>
                      <w:rFonts w:hint="eastAsia"/>
                    </w:rPr>
                    <w:t>；南区范围东至夏</w:t>
                  </w:r>
                </w:p>
                <w:p>
                  <w:pPr>
                    <w:autoSpaceDE w:val="0"/>
                    <w:autoSpaceDN w:val="0"/>
                    <w:snapToGrid w:val="0"/>
                    <w:spacing w:line="320" w:lineRule="exact"/>
                    <w:jc w:val="center"/>
                    <w:rPr>
                      <w:rFonts w:hint="eastAsia"/>
                    </w:rPr>
                  </w:pPr>
                  <w:r>
                    <w:rPr>
                      <w:rFonts w:hint="eastAsia"/>
                    </w:rPr>
                    <w:t>城南路-常武南路，南至太滆运河、前寨路、南湖路，西至滆湖，北至武南路，包含国务院批复区域中的区块一，面积为55.43km</w:t>
                  </w:r>
                  <w:r>
                    <w:rPr>
                      <w:rFonts w:hint="eastAsia"/>
                      <w:vertAlign w:val="superscript"/>
                    </w:rPr>
                    <w:t>2</w:t>
                  </w:r>
                  <w:r>
                    <w:rPr>
                      <w:rFonts w:hint="eastAsia"/>
                    </w:rPr>
                    <w:t>。规划重点发展高端装备制造产</w:t>
                  </w:r>
                </w:p>
                <w:p>
                  <w:pPr>
                    <w:autoSpaceDE w:val="0"/>
                    <w:autoSpaceDN w:val="0"/>
                    <w:snapToGrid w:val="0"/>
                    <w:spacing w:line="320" w:lineRule="exact"/>
                    <w:jc w:val="center"/>
                  </w:pPr>
                  <w:r>
                    <w:rPr>
                      <w:rFonts w:hint="eastAsia"/>
                    </w:rPr>
                    <w:t>业、节能环保产业、电子和智能信息产业、新型交通产业四大主导产业</w:t>
                  </w:r>
                  <w:r>
                    <w:t>。</w:t>
                  </w:r>
                </w:p>
              </w:tc>
              <w:tc>
                <w:tcPr>
                  <w:tcW w:w="2019" w:type="dxa"/>
                  <w:tcMar>
                    <w:top w:w="0" w:type="dxa"/>
                    <w:left w:w="0" w:type="dxa"/>
                    <w:bottom w:w="0" w:type="dxa"/>
                    <w:right w:w="0" w:type="dxa"/>
                  </w:tcMar>
                  <w:vAlign w:val="center"/>
                </w:tcPr>
                <w:p>
                  <w:pPr>
                    <w:autoSpaceDE w:val="0"/>
                    <w:autoSpaceDN w:val="0"/>
                    <w:snapToGrid w:val="0"/>
                    <w:spacing w:line="320" w:lineRule="exact"/>
                    <w:jc w:val="center"/>
                    <w:rPr>
                      <w:rFonts w:hint="eastAsia" w:eastAsia="宋体"/>
                      <w:lang w:eastAsia="zh-CN"/>
                    </w:rPr>
                  </w:pPr>
                  <w:r>
                    <w:t>相符</w:t>
                  </w:r>
                  <w:r>
                    <w:rPr>
                      <w:rFonts w:hint="eastAsia"/>
                      <w:lang w:eastAsia="zh-CN"/>
                    </w:rPr>
                    <w:t>，本项目位于江苏省常州市武进国家高新技术产业开发区龙逸路76号，在高新区规划范围内；本项目为C2921塑料薄膜制造，与高新区产业定位相符。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75" w:type="dxa"/>
                  <w:tcMar>
                    <w:top w:w="0" w:type="dxa"/>
                    <w:left w:w="0" w:type="dxa"/>
                    <w:bottom w:w="0" w:type="dxa"/>
                    <w:right w:w="0" w:type="dxa"/>
                  </w:tcMar>
                  <w:vAlign w:val="center"/>
                </w:tcPr>
                <w:p>
                  <w:pPr>
                    <w:autoSpaceDE w:val="0"/>
                    <w:autoSpaceDN w:val="0"/>
                    <w:snapToGrid w:val="0"/>
                    <w:spacing w:line="320" w:lineRule="exact"/>
                    <w:jc w:val="center"/>
                  </w:pPr>
                  <w:r>
                    <w:rPr>
                      <w:rFonts w:hint="eastAsia"/>
                    </w:rPr>
                    <w:t>《规划》实施应推动污染物减排，促进区域环境质量改善。高新区应依据《报告书》和审查意见，进一步优化《规划》方案，强化各项环境保护、环境风险防范措施的落实，有效预防和减缓《规划》实施可能带来的不良影响，持续改善区域生态环境质量</w:t>
                  </w:r>
                  <w:r>
                    <w:t>。</w:t>
                  </w:r>
                </w:p>
              </w:tc>
              <w:tc>
                <w:tcPr>
                  <w:tcW w:w="2019" w:type="dxa"/>
                  <w:tcMar>
                    <w:top w:w="0" w:type="dxa"/>
                    <w:left w:w="0" w:type="dxa"/>
                    <w:bottom w:w="0" w:type="dxa"/>
                    <w:right w:w="0" w:type="dxa"/>
                  </w:tcMar>
                  <w:vAlign w:val="center"/>
                </w:tcPr>
                <w:p>
                  <w:pPr>
                    <w:autoSpaceDE w:val="0"/>
                    <w:autoSpaceDN w:val="0"/>
                    <w:snapToGrid w:val="0"/>
                    <w:spacing w:line="320" w:lineRule="exact"/>
                    <w:jc w:val="center"/>
                  </w:pPr>
                  <w:r>
                    <w:t>相符，</w:t>
                  </w:r>
                  <w:r>
                    <w:rPr>
                      <w:rFonts w:hint="eastAsia"/>
                    </w:rPr>
                    <w:t>本项目大气污染物新建废气设施处理后达标排放；噪声均采取有效减噪措施；一般固废外售综合利用，危险固废委托有资质单位处置，生活垃圾由环卫清运。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75" w:type="dxa"/>
                  <w:tcMar>
                    <w:top w:w="0" w:type="dxa"/>
                    <w:left w:w="0" w:type="dxa"/>
                    <w:bottom w:w="0" w:type="dxa"/>
                    <w:right w:w="0" w:type="dxa"/>
                  </w:tcMar>
                  <w:vAlign w:val="center"/>
                </w:tcPr>
                <w:p>
                  <w:pPr>
                    <w:autoSpaceDE w:val="0"/>
                    <w:autoSpaceDN w:val="0"/>
                    <w:snapToGrid w:val="0"/>
                    <w:spacing w:line="320" w:lineRule="exact"/>
                    <w:jc w:val="center"/>
                  </w:pPr>
                  <w:r>
                    <w:rPr>
                      <w:rFonts w:hint="eastAsia"/>
                    </w:rPr>
                    <w:t>严格空间管控，优化空间布局。严格落实生态空间管控要求，高新区内永久基本农田、水域及绿地在规划期内禁止开发利用。居住用地与工业用地间设置不少于50 米的空间防护距离并适当进行绿化建设，确保高新区产业布局与生态环境保护、人居环境安全相协调。</w:t>
                  </w:r>
                </w:p>
              </w:tc>
              <w:tc>
                <w:tcPr>
                  <w:tcW w:w="2019" w:type="dxa"/>
                  <w:tcMar>
                    <w:top w:w="0" w:type="dxa"/>
                    <w:left w:w="0" w:type="dxa"/>
                    <w:bottom w:w="0" w:type="dxa"/>
                    <w:right w:w="0" w:type="dxa"/>
                  </w:tcMar>
                  <w:vAlign w:val="center"/>
                </w:tcPr>
                <w:p>
                  <w:pPr>
                    <w:autoSpaceDE w:val="0"/>
                    <w:autoSpaceDN w:val="0"/>
                    <w:snapToGrid w:val="0"/>
                    <w:spacing w:line="320" w:lineRule="exact"/>
                    <w:jc w:val="center"/>
                    <w:rPr>
                      <w:rFonts w:hint="eastAsia" w:eastAsia="宋体"/>
                      <w:lang w:eastAsia="zh-CN"/>
                    </w:rPr>
                  </w:pPr>
                  <w:r>
                    <w:t>相符</w:t>
                  </w:r>
                  <w:r>
                    <w:rPr>
                      <w:rFonts w:hint="eastAsia"/>
                      <w:lang w:eastAsia="zh-CN"/>
                    </w:rPr>
                    <w:t>，武进国家高新技术产业开发区发展规划-园区远期用地规划图（至203</w:t>
                  </w:r>
                  <w:r>
                    <w:rPr>
                      <w:rFonts w:hint="eastAsia"/>
                      <w:lang w:val="en-US" w:eastAsia="zh-CN"/>
                    </w:rPr>
                    <w:t>0</w:t>
                  </w:r>
                  <w:r>
                    <w:rPr>
                      <w:rFonts w:hint="eastAsia"/>
                      <w:lang w:eastAsia="zh-CN"/>
                    </w:rPr>
                    <w:t>年）及企业提供的</w:t>
                  </w:r>
                  <w:r>
                    <w:rPr>
                      <w:rFonts w:hint="eastAsia"/>
                      <w:lang w:val="en-US" w:eastAsia="zh-CN"/>
                    </w:rPr>
                    <w:t>租赁厂房的</w:t>
                  </w:r>
                  <w:r>
                    <w:rPr>
                      <w:rFonts w:hint="eastAsia"/>
                      <w:lang w:eastAsia="zh-CN"/>
                    </w:rPr>
                    <w:t>不动产权证（苏（202</w:t>
                  </w:r>
                  <w:r>
                    <w:rPr>
                      <w:rFonts w:hint="eastAsia"/>
                      <w:lang w:val="en-US" w:eastAsia="zh-CN"/>
                    </w:rPr>
                    <w:t>3</w:t>
                  </w:r>
                  <w:r>
                    <w:rPr>
                      <w:rFonts w:hint="eastAsia"/>
                      <w:lang w:eastAsia="zh-CN"/>
                    </w:rPr>
                    <w:t>）</w:t>
                  </w:r>
                  <w:r>
                    <w:rPr>
                      <w:rFonts w:hint="eastAsia"/>
                      <w:lang w:val="en-US" w:eastAsia="zh-CN"/>
                    </w:rPr>
                    <w:t>常州市</w:t>
                  </w:r>
                  <w:r>
                    <w:rPr>
                      <w:rFonts w:hint="eastAsia"/>
                      <w:lang w:eastAsia="zh-CN"/>
                    </w:rPr>
                    <w:t>不动产权第</w:t>
                  </w:r>
                  <w:r>
                    <w:rPr>
                      <w:rFonts w:hint="eastAsia"/>
                      <w:lang w:val="en-US" w:eastAsia="zh-CN"/>
                    </w:rPr>
                    <w:t>0166871</w:t>
                  </w:r>
                  <w:r>
                    <w:rPr>
                      <w:rFonts w:hint="eastAsia"/>
                      <w:lang w:eastAsia="zh-CN"/>
                    </w:rPr>
                    <w:t>号），项目用地性质均为工业用地，不占用耕地和永久基本农田；项目50m范围内无居住用地。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75" w:type="dxa"/>
                  <w:tcMar>
                    <w:top w:w="0" w:type="dxa"/>
                    <w:left w:w="0" w:type="dxa"/>
                    <w:bottom w:w="0" w:type="dxa"/>
                    <w:right w:w="0" w:type="dxa"/>
                  </w:tcMar>
                  <w:vAlign w:val="center"/>
                </w:tcPr>
                <w:p>
                  <w:pPr>
                    <w:autoSpaceDE w:val="0"/>
                    <w:autoSpaceDN w:val="0"/>
                    <w:snapToGrid w:val="0"/>
                    <w:spacing w:line="320" w:lineRule="exact"/>
                    <w:jc w:val="center"/>
                  </w:pPr>
                  <w:r>
                    <w:rPr>
                      <w:rFonts w:hint="eastAsia"/>
                    </w:rPr>
                    <w:t>严守环境质量底线，实施污染物排放限量管理。落实国家和江苏省大气、水、土壤、噪声污染防治、区域生态环境分区管控、工业园区（集中区）污染物排放限值限量管理相关要求，建立以环境质量为核心的污染物总量控制管理体系，实施主要污染物排放浓度和总量“双控管”。2025年，高新区环境空气细颗粒物（PM2.5）年均浓度应达到30微克/立方米；武南河、采菱港应稳定达到Ⅲ类水质标准。</w:t>
                  </w:r>
                </w:p>
              </w:tc>
              <w:tc>
                <w:tcPr>
                  <w:tcW w:w="2019" w:type="dxa"/>
                  <w:tcMar>
                    <w:top w:w="0" w:type="dxa"/>
                    <w:left w:w="0" w:type="dxa"/>
                    <w:bottom w:w="0" w:type="dxa"/>
                    <w:right w:w="0" w:type="dxa"/>
                  </w:tcMar>
                  <w:vAlign w:val="center"/>
                </w:tcPr>
                <w:p>
                  <w:pPr>
                    <w:autoSpaceDE w:val="0"/>
                    <w:autoSpaceDN w:val="0"/>
                    <w:snapToGrid w:val="0"/>
                    <w:spacing w:line="320" w:lineRule="exact"/>
                    <w:jc w:val="center"/>
                    <w:rPr>
                      <w:rFonts w:hint="eastAsia" w:eastAsia="宋体"/>
                      <w:lang w:eastAsia="zh-CN"/>
                    </w:rPr>
                  </w:pPr>
                  <w:r>
                    <w:t>相符</w:t>
                  </w:r>
                  <w:r>
                    <w:rPr>
                      <w:rFonts w:hint="eastAsia"/>
                      <w:lang w:eastAsia="zh-CN"/>
                    </w:rPr>
                    <w:t>，生产过程中产生的污染物均得到有效控制，VOCs经治理后能够达标排放，排放总量在区域内进行平衡。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75" w:type="dxa"/>
                  <w:tcMar>
                    <w:top w:w="0" w:type="dxa"/>
                    <w:left w:w="0" w:type="dxa"/>
                    <w:bottom w:w="0" w:type="dxa"/>
                    <w:right w:w="0" w:type="dxa"/>
                  </w:tcMar>
                  <w:vAlign w:val="center"/>
                </w:tcPr>
                <w:p>
                  <w:pPr>
                    <w:autoSpaceDE w:val="0"/>
                    <w:autoSpaceDN w:val="0"/>
                    <w:snapToGrid w:val="0"/>
                    <w:spacing w:line="320" w:lineRule="exact"/>
                    <w:jc w:val="center"/>
                    <w:rPr>
                      <w:rFonts w:hint="eastAsia"/>
                    </w:rPr>
                  </w:pPr>
                  <w:r>
                    <w:rPr>
                      <w:rFonts w:hint="eastAsia"/>
                    </w:rPr>
                    <w:t>加强源头治理，协同推进减污降碳。严格落实生态环境准入清单，以及《报告书》提出的生态环境准入要求，严格限制与主导产业不相关、排污负荷大的项目入区，</w:t>
                  </w:r>
                </w:p>
                <w:p>
                  <w:pPr>
                    <w:autoSpaceDE w:val="0"/>
                    <w:autoSpaceDN w:val="0"/>
                    <w:snapToGrid w:val="0"/>
                    <w:spacing w:line="320" w:lineRule="exact"/>
                    <w:jc w:val="both"/>
                    <w:rPr>
                      <w:rFonts w:hint="eastAsia"/>
                    </w:rPr>
                  </w:pPr>
                  <w:r>
                    <w:rPr>
                      <w:rFonts w:hint="eastAsia"/>
                    </w:rPr>
                    <w:t>执行最严格的行业废水、废气排放控制要求。强化企业特征污染物排放控制、高效治理设施建设以及精细化管控，加强企业生产过程中挥发性有机气体的排放控制。</w:t>
                  </w:r>
                </w:p>
                <w:p>
                  <w:pPr>
                    <w:autoSpaceDE w:val="0"/>
                    <w:autoSpaceDN w:val="0"/>
                    <w:snapToGrid w:val="0"/>
                    <w:spacing w:line="320" w:lineRule="exact"/>
                    <w:jc w:val="both"/>
                  </w:pPr>
                  <w:r>
                    <w:rPr>
                      <w:rFonts w:hint="eastAsia"/>
                    </w:rPr>
                    <w:t>引进项目的生产工艺、设备，以及单位产品水耗、能耗、污染物排放和资源利用效率等达到同行业国际先进水平。</w:t>
                  </w:r>
                </w:p>
              </w:tc>
              <w:tc>
                <w:tcPr>
                  <w:tcW w:w="2019" w:type="dxa"/>
                  <w:tcMar>
                    <w:top w:w="0" w:type="dxa"/>
                    <w:left w:w="0" w:type="dxa"/>
                    <w:bottom w:w="0" w:type="dxa"/>
                    <w:right w:w="0" w:type="dxa"/>
                  </w:tcMar>
                  <w:vAlign w:val="center"/>
                </w:tcPr>
                <w:p>
                  <w:pPr>
                    <w:autoSpaceDE w:val="0"/>
                    <w:autoSpaceDN w:val="0"/>
                    <w:snapToGrid w:val="0"/>
                    <w:spacing w:line="320" w:lineRule="exact"/>
                    <w:jc w:val="center"/>
                    <w:rPr>
                      <w:rFonts w:hint="eastAsia" w:eastAsia="宋体"/>
                      <w:lang w:eastAsia="zh-CN"/>
                    </w:rPr>
                  </w:pPr>
                  <w:r>
                    <w:t>相符</w:t>
                  </w:r>
                  <w:r>
                    <w:rPr>
                      <w:rFonts w:hint="eastAsia"/>
                      <w:lang w:eastAsia="zh-CN"/>
                    </w:rPr>
                    <w:t>，本项目属于C2921塑料薄膜制造项目，不属于高新区禁止引入；生产过程中产生的污染物均得到有效控制。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75" w:type="dxa"/>
                  <w:tcMar>
                    <w:top w:w="0" w:type="dxa"/>
                    <w:left w:w="0" w:type="dxa"/>
                    <w:bottom w:w="0" w:type="dxa"/>
                    <w:right w:w="0" w:type="dxa"/>
                  </w:tcMar>
                  <w:vAlign w:val="center"/>
                </w:tcPr>
                <w:p>
                  <w:pPr>
                    <w:autoSpaceDE w:val="0"/>
                    <w:autoSpaceDN w:val="0"/>
                    <w:snapToGrid w:val="0"/>
                    <w:spacing w:line="320" w:lineRule="exact"/>
                    <w:jc w:val="center"/>
                    <w:rPr>
                      <w:rFonts w:hint="eastAsia"/>
                    </w:rPr>
                  </w:pPr>
                  <w:r>
                    <w:rPr>
                      <w:rFonts w:hint="eastAsia"/>
                    </w:rPr>
                    <w:t>完善环境基础设施建设。加快推进武进高新工业污水处理厂一期工程（3万吨/日）以及武进城区污水处理厂迁建工程，确保工业废水与生活污水分类收集、分质处</w:t>
                  </w:r>
                </w:p>
                <w:p>
                  <w:pPr>
                    <w:autoSpaceDE w:val="0"/>
                    <w:autoSpaceDN w:val="0"/>
                    <w:snapToGrid w:val="0"/>
                    <w:spacing w:line="320" w:lineRule="exact"/>
                    <w:jc w:val="both"/>
                  </w:pPr>
                  <w:r>
                    <w:rPr>
                      <w:rFonts w:hint="eastAsia"/>
                    </w:rPr>
                    <w:t>理；定期开展园区污水管网渗漏排查工作，建立健全园区地下水污染防治与风险防控机制。推进中水回用设施建设，提高园区中水回用率。开展区内入河排污口排查及规范化整治，建立名录，强化日常监管。加强园区固体废物减量化、资源化、无害化处理，一般工业固废、危险废物应依法依规收集、处理处置，做到“就地分类收集、就近转移处置”。</w:t>
                  </w:r>
                </w:p>
              </w:tc>
              <w:tc>
                <w:tcPr>
                  <w:tcW w:w="2019" w:type="dxa"/>
                  <w:tcMar>
                    <w:top w:w="0" w:type="dxa"/>
                    <w:left w:w="0" w:type="dxa"/>
                    <w:bottom w:w="0" w:type="dxa"/>
                    <w:right w:w="0" w:type="dxa"/>
                  </w:tcMar>
                  <w:vAlign w:val="center"/>
                </w:tcPr>
                <w:p>
                  <w:pPr>
                    <w:autoSpaceDE w:val="0"/>
                    <w:autoSpaceDN w:val="0"/>
                    <w:snapToGrid w:val="0"/>
                    <w:spacing w:line="320" w:lineRule="exact"/>
                    <w:jc w:val="center"/>
                  </w:pPr>
                  <w:r>
                    <w:t>相符，</w:t>
                  </w:r>
                  <w:r>
                    <w:rPr>
                      <w:rFonts w:hint="eastAsia"/>
                    </w:rPr>
                    <w:t>本项目无生产废水产生；员工生活污水接管至武南污水处理厂集中处理；项目所在地已实现“雨污分流”；项目一般固废收集后外售综合利用，危险废物暂存于厂内危废贮存库，定期委托有资质单位处置，做到“就地分类收集、就近转移处置”</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75" w:type="dxa"/>
                  <w:tcMar>
                    <w:top w:w="0" w:type="dxa"/>
                    <w:left w:w="0" w:type="dxa"/>
                    <w:bottom w:w="0" w:type="dxa"/>
                    <w:right w:w="0" w:type="dxa"/>
                  </w:tcMar>
                  <w:vAlign w:val="center"/>
                </w:tcPr>
                <w:p>
                  <w:pPr>
                    <w:autoSpaceDE w:val="0"/>
                    <w:autoSpaceDN w:val="0"/>
                    <w:snapToGrid w:val="0"/>
                    <w:spacing w:line="320" w:lineRule="exact"/>
                    <w:jc w:val="both"/>
                    <w:rPr>
                      <w:rFonts w:hint="eastAsia"/>
                    </w:rPr>
                  </w:pPr>
                  <w:r>
                    <w:rPr>
                      <w:rFonts w:hint="eastAsia"/>
                    </w:rPr>
                    <w:t>建立健全环境监测监控体系。开展包括环境空气、地表水、地下水、土壤、底泥等环境要素的长期跟踪监测与管理。结合区域跟踪监测情况，动态调整高新区开发建</w:t>
                  </w:r>
                </w:p>
                <w:p>
                  <w:pPr>
                    <w:autoSpaceDE w:val="0"/>
                    <w:autoSpaceDN w:val="0"/>
                    <w:snapToGrid w:val="0"/>
                    <w:spacing w:line="320" w:lineRule="exact"/>
                    <w:jc w:val="both"/>
                    <w:rPr>
                      <w:rFonts w:hint="eastAsia"/>
                    </w:rPr>
                  </w:pPr>
                  <w:r>
                    <w:rPr>
                      <w:rFonts w:hint="eastAsia"/>
                    </w:rPr>
                    <w:t>设规模和时序进度，优化生态环境保护措施，确保区域生态环境质量不恶化。探索开展新污染物环境本底调查监测，依法公开新污染物信息。积极推进氟化物污染物</w:t>
                  </w:r>
                </w:p>
                <w:p>
                  <w:pPr>
                    <w:autoSpaceDE w:val="0"/>
                    <w:autoSpaceDN w:val="0"/>
                    <w:snapToGrid w:val="0"/>
                    <w:spacing w:line="320" w:lineRule="exact"/>
                    <w:jc w:val="both"/>
                    <w:rPr>
                      <w:rFonts w:hint="eastAsia"/>
                    </w:rPr>
                  </w:pPr>
                  <w:r>
                    <w:rPr>
                      <w:rFonts w:hint="eastAsia"/>
                    </w:rPr>
                    <w:t>排放及水环境质量的监测监控，园区重点涉氟企业雨水污水排放口完成氟化物自动监控系统安装，并与省市平台联网。严格落实环境质量监测要求，建立高新区土壤和地下水隐患排查制度并纳入监控预警体系。指导区内企业规范安装在线监测设备并联网，推进区内排污许可重点管理单位自动监测全覆盖；暂不具备安装在线监测设备条件的企业，应做好委托监测工作。</w:t>
                  </w:r>
                </w:p>
              </w:tc>
              <w:tc>
                <w:tcPr>
                  <w:tcW w:w="2019" w:type="dxa"/>
                  <w:tcMar>
                    <w:top w:w="0" w:type="dxa"/>
                    <w:left w:w="0" w:type="dxa"/>
                    <w:bottom w:w="0" w:type="dxa"/>
                    <w:right w:w="0" w:type="dxa"/>
                  </w:tcMar>
                  <w:vAlign w:val="center"/>
                </w:tcPr>
                <w:p>
                  <w:pPr>
                    <w:autoSpaceDE w:val="0"/>
                    <w:autoSpaceDN w:val="0"/>
                    <w:snapToGrid w:val="0"/>
                    <w:spacing w:line="320" w:lineRule="exact"/>
                    <w:jc w:val="center"/>
                  </w:pPr>
                  <w:r>
                    <w:rPr>
                      <w:rFonts w:hint="eastAsia"/>
                      <w:lang w:val="en-US" w:eastAsia="zh-CN"/>
                    </w:rPr>
                    <w:t>相符，</w:t>
                  </w:r>
                  <w:r>
                    <w:rPr>
                      <w:rFonts w:hint="eastAsia"/>
                    </w:rPr>
                    <w:t>本项目建成后将按照本次环评要求定期进行废气、废水、噪声监测。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75" w:type="dxa"/>
                  <w:tcMar>
                    <w:top w:w="0" w:type="dxa"/>
                    <w:left w:w="0" w:type="dxa"/>
                    <w:bottom w:w="0" w:type="dxa"/>
                    <w:right w:w="0" w:type="dxa"/>
                  </w:tcMar>
                  <w:vAlign w:val="center"/>
                </w:tcPr>
                <w:p>
                  <w:pPr>
                    <w:autoSpaceDE w:val="0"/>
                    <w:autoSpaceDN w:val="0"/>
                    <w:snapToGrid w:val="0"/>
                    <w:spacing w:line="320" w:lineRule="exact"/>
                    <w:jc w:val="both"/>
                    <w:rPr>
                      <w:rFonts w:hint="eastAsia"/>
                    </w:rPr>
                  </w:pPr>
                  <w:r>
                    <w:rPr>
                      <w:rFonts w:hint="eastAsia"/>
                    </w:rPr>
                    <w:t>健全环境风险防控体系，提升环境应急能力。完善高新区三级防控体系建设，确保事故废水不进入外环境。加强环境应急基础设施建设，配备充足的应急装备物资，</w:t>
                  </w:r>
                </w:p>
                <w:p>
                  <w:pPr>
                    <w:autoSpaceDE w:val="0"/>
                    <w:autoSpaceDN w:val="0"/>
                    <w:snapToGrid w:val="0"/>
                    <w:spacing w:line="320" w:lineRule="exact"/>
                    <w:jc w:val="both"/>
                    <w:rPr>
                      <w:rFonts w:hint="eastAsia"/>
                    </w:rPr>
                  </w:pPr>
                  <w:r>
                    <w:rPr>
                      <w:rFonts w:hint="eastAsia"/>
                    </w:rPr>
                    <w:t>形成环境应急救援能力。健全环境风险评估和应急预案制度，定期开展环境应急演练，完善环境应急响应联动机制，提升应急实战水平。建立突发环境事件隐患排查</w:t>
                  </w:r>
                </w:p>
                <w:p>
                  <w:pPr>
                    <w:autoSpaceDE w:val="0"/>
                    <w:autoSpaceDN w:val="0"/>
                    <w:snapToGrid w:val="0"/>
                    <w:spacing w:line="320" w:lineRule="exact"/>
                    <w:jc w:val="both"/>
                    <w:rPr>
                      <w:rFonts w:hint="eastAsia"/>
                    </w:rPr>
                  </w:pPr>
                  <w:r>
                    <w:rPr>
                      <w:rFonts w:hint="eastAsia"/>
                    </w:rPr>
                    <w:t>长效机制，定期排查突发环境事件隐患，建立隐患清单并督促整改到位，保障区域环境安全。重点关注并督促指导涉重金属企业构筑“风险单元-管网、应急池-厂界”</w:t>
                  </w:r>
                </w:p>
                <w:p>
                  <w:pPr>
                    <w:autoSpaceDE w:val="0"/>
                    <w:autoSpaceDN w:val="0"/>
                    <w:snapToGrid w:val="0"/>
                    <w:spacing w:line="320" w:lineRule="exact"/>
                    <w:jc w:val="both"/>
                    <w:rPr>
                      <w:rFonts w:hint="eastAsia"/>
                    </w:rPr>
                  </w:pPr>
                  <w:r>
                    <w:rPr>
                      <w:rFonts w:hint="eastAsia"/>
                    </w:rPr>
                    <w:t>环境风险防控体系，严防涉重金属突发水污染事件。</w:t>
                  </w:r>
                </w:p>
              </w:tc>
              <w:tc>
                <w:tcPr>
                  <w:tcW w:w="2019" w:type="dxa"/>
                  <w:tcMar>
                    <w:top w:w="0" w:type="dxa"/>
                    <w:left w:w="0" w:type="dxa"/>
                    <w:bottom w:w="0" w:type="dxa"/>
                    <w:right w:w="0" w:type="dxa"/>
                  </w:tcMar>
                  <w:vAlign w:val="center"/>
                </w:tcPr>
                <w:p>
                  <w:pPr>
                    <w:autoSpaceDE w:val="0"/>
                    <w:autoSpaceDN w:val="0"/>
                    <w:snapToGrid w:val="0"/>
                    <w:spacing w:line="320" w:lineRule="exact"/>
                    <w:jc w:val="center"/>
                    <w:rPr>
                      <w:rFonts w:hint="eastAsia"/>
                      <w:lang w:val="en-US" w:eastAsia="zh-CN"/>
                    </w:rPr>
                  </w:pPr>
                  <w:r>
                    <w:rPr>
                      <w:rFonts w:hint="eastAsia"/>
                      <w:lang w:val="en-US" w:eastAsia="zh-CN"/>
                    </w:rPr>
                    <w:t>相符，本项目建成后将完善厂内风险防控体系，提升应急能力，完善全厂三级防控体系建设，加强应急物资储备及管理，并及时编制《突发环境事件应急预案》。</w:t>
                  </w:r>
                </w:p>
              </w:tc>
            </w:tr>
          </w:tbl>
          <w:p>
            <w:pPr>
              <w:autoSpaceDE w:val="0"/>
              <w:autoSpaceDN w:val="0"/>
              <w:spacing w:line="360" w:lineRule="auto"/>
              <w:ind w:firstLine="211" w:firstLineChars="100"/>
              <w:jc w:val="both"/>
            </w:pPr>
            <w:r>
              <w:rPr>
                <w:b/>
                <w:bCs/>
              </w:rPr>
              <w:t>表1-</w:t>
            </w:r>
            <w:r>
              <w:rPr>
                <w:rFonts w:hint="eastAsia"/>
                <w:b/>
                <w:bCs/>
                <w:lang w:val="en-US" w:eastAsia="zh-CN"/>
              </w:rPr>
              <w:t>2</w:t>
            </w:r>
            <w:r>
              <w:rPr>
                <w:b/>
                <w:bCs/>
              </w:rPr>
              <w:t xml:space="preserve">  </w:t>
            </w:r>
            <w:r>
              <w:rPr>
                <w:rFonts w:hint="eastAsia"/>
                <w:b/>
                <w:bCs/>
              </w:rPr>
              <w:t>与《武进国家高新技术产业开发区生态环境准入清单》对照分析</w:t>
            </w:r>
          </w:p>
          <w:tbl>
            <w:tblPr>
              <w:tblStyle w:val="22"/>
              <w:tblW w:w="699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23"/>
              <w:gridCol w:w="763"/>
              <w:gridCol w:w="3668"/>
              <w:gridCol w:w="22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6" w:type="dxa"/>
                  <w:gridSpan w:val="2"/>
                  <w:vAlign w:val="center"/>
                </w:tcPr>
                <w:p>
                  <w:pPr>
                    <w:autoSpaceDE w:val="0"/>
                    <w:autoSpaceDN w:val="0"/>
                    <w:snapToGrid w:val="0"/>
                    <w:spacing w:line="320" w:lineRule="exact"/>
                    <w:jc w:val="center"/>
                    <w:rPr>
                      <w:rFonts w:hint="default" w:eastAsia="宋体"/>
                      <w:b/>
                      <w:bCs/>
                      <w:lang w:val="en-US" w:eastAsia="zh-CN"/>
                    </w:rPr>
                  </w:pPr>
                  <w:r>
                    <w:rPr>
                      <w:rFonts w:hint="eastAsia"/>
                      <w:b/>
                      <w:bCs/>
                      <w:lang w:val="en-US" w:eastAsia="zh-CN"/>
                    </w:rPr>
                    <w:t>清单类型</w:t>
                  </w:r>
                </w:p>
              </w:tc>
              <w:tc>
                <w:tcPr>
                  <w:tcW w:w="3668" w:type="dxa"/>
                  <w:vAlign w:val="center"/>
                </w:tcPr>
                <w:p>
                  <w:pPr>
                    <w:autoSpaceDE w:val="0"/>
                    <w:autoSpaceDN w:val="0"/>
                    <w:snapToGrid w:val="0"/>
                    <w:spacing w:line="320" w:lineRule="exact"/>
                    <w:jc w:val="center"/>
                    <w:rPr>
                      <w:rFonts w:hint="default" w:eastAsia="宋体"/>
                      <w:b/>
                      <w:bCs/>
                      <w:lang w:val="en-US" w:eastAsia="zh-CN"/>
                    </w:rPr>
                  </w:pPr>
                  <w:r>
                    <w:rPr>
                      <w:rFonts w:hint="eastAsia"/>
                      <w:b/>
                      <w:bCs/>
                      <w:lang w:val="en-US" w:eastAsia="zh-CN"/>
                    </w:rPr>
                    <w:t>准入内容</w:t>
                  </w:r>
                </w:p>
              </w:tc>
              <w:tc>
                <w:tcPr>
                  <w:tcW w:w="2240" w:type="dxa"/>
                  <w:vAlign w:val="center"/>
                </w:tcPr>
                <w:p>
                  <w:pPr>
                    <w:autoSpaceDE w:val="0"/>
                    <w:autoSpaceDN w:val="0"/>
                    <w:snapToGrid w:val="0"/>
                    <w:spacing w:line="320" w:lineRule="exact"/>
                    <w:jc w:val="center"/>
                    <w:rPr>
                      <w:b/>
                      <w:bCs/>
                    </w:rPr>
                  </w:pPr>
                  <w:r>
                    <w:rPr>
                      <w:rFonts w:hint="eastAsia"/>
                      <w:b/>
                      <w:bCs/>
                      <w:lang w:val="en-US" w:eastAsia="zh-CN"/>
                    </w:rPr>
                    <w:t>本项目</w:t>
                  </w:r>
                  <w:r>
                    <w:rPr>
                      <w:b/>
                      <w:bCs/>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23" w:type="dxa"/>
                  <w:vMerge w:val="restart"/>
                  <w:tcMar>
                    <w:top w:w="0" w:type="dxa"/>
                    <w:left w:w="0" w:type="dxa"/>
                    <w:bottom w:w="0" w:type="dxa"/>
                    <w:right w:w="0" w:type="dxa"/>
                  </w:tcMar>
                  <w:vAlign w:val="center"/>
                </w:tcPr>
                <w:p>
                  <w:pPr>
                    <w:autoSpaceDE w:val="0"/>
                    <w:autoSpaceDN w:val="0"/>
                    <w:snapToGrid w:val="0"/>
                    <w:spacing w:line="320" w:lineRule="exact"/>
                    <w:jc w:val="center"/>
                    <w:rPr>
                      <w:rFonts w:hint="eastAsia"/>
                      <w:lang w:val="en-US" w:eastAsia="zh-CN"/>
                    </w:rPr>
                  </w:pPr>
                  <w:r>
                    <w:rPr>
                      <w:rFonts w:hint="eastAsia"/>
                      <w:lang w:val="en-US" w:eastAsia="zh-CN"/>
                    </w:rPr>
                    <w:t>项目</w:t>
                  </w:r>
                </w:p>
                <w:p>
                  <w:pPr>
                    <w:autoSpaceDE w:val="0"/>
                    <w:autoSpaceDN w:val="0"/>
                    <w:snapToGrid w:val="0"/>
                    <w:spacing w:line="320" w:lineRule="exact"/>
                    <w:jc w:val="center"/>
                    <w:rPr>
                      <w:rFonts w:hint="default" w:eastAsia="宋体"/>
                      <w:lang w:val="en-US" w:eastAsia="zh-CN"/>
                    </w:rPr>
                  </w:pPr>
                  <w:r>
                    <w:rPr>
                      <w:rFonts w:hint="eastAsia"/>
                      <w:lang w:val="en-US" w:eastAsia="zh-CN"/>
                    </w:rPr>
                    <w:t>准入</w:t>
                  </w:r>
                </w:p>
              </w:tc>
              <w:tc>
                <w:tcPr>
                  <w:tcW w:w="763" w:type="dxa"/>
                  <w:tcMar>
                    <w:top w:w="0" w:type="dxa"/>
                    <w:left w:w="0" w:type="dxa"/>
                    <w:bottom w:w="0" w:type="dxa"/>
                    <w:right w:w="0" w:type="dxa"/>
                  </w:tcMar>
                  <w:vAlign w:val="center"/>
                </w:tcPr>
                <w:p>
                  <w:pPr>
                    <w:autoSpaceDE w:val="0"/>
                    <w:autoSpaceDN w:val="0"/>
                    <w:snapToGrid w:val="0"/>
                    <w:spacing w:line="320" w:lineRule="exact"/>
                    <w:jc w:val="center"/>
                    <w:rPr>
                      <w:rFonts w:hint="eastAsia"/>
                      <w:lang w:val="en-US" w:eastAsia="zh-CN"/>
                    </w:rPr>
                  </w:pPr>
                  <w:r>
                    <w:rPr>
                      <w:rFonts w:hint="eastAsia"/>
                      <w:lang w:val="en-US" w:eastAsia="zh-CN"/>
                    </w:rPr>
                    <w:t>优先</w:t>
                  </w:r>
                </w:p>
                <w:p>
                  <w:pPr>
                    <w:autoSpaceDE w:val="0"/>
                    <w:autoSpaceDN w:val="0"/>
                    <w:snapToGrid w:val="0"/>
                    <w:spacing w:line="320" w:lineRule="exact"/>
                    <w:jc w:val="center"/>
                    <w:rPr>
                      <w:rFonts w:hint="default" w:eastAsia="宋体"/>
                      <w:lang w:val="en-US" w:eastAsia="zh-CN"/>
                    </w:rPr>
                  </w:pPr>
                  <w:r>
                    <w:rPr>
                      <w:rFonts w:hint="eastAsia"/>
                      <w:lang w:val="en-US" w:eastAsia="zh-CN"/>
                    </w:rPr>
                    <w:t>引入</w:t>
                  </w:r>
                </w:p>
              </w:tc>
              <w:tc>
                <w:tcPr>
                  <w:tcW w:w="3668" w:type="dxa"/>
                  <w:tcMar>
                    <w:top w:w="0" w:type="dxa"/>
                    <w:left w:w="0" w:type="dxa"/>
                    <w:bottom w:w="0" w:type="dxa"/>
                    <w:right w:w="0" w:type="dxa"/>
                  </w:tcMar>
                  <w:vAlign w:val="center"/>
                </w:tcPr>
                <w:p>
                  <w:pPr>
                    <w:autoSpaceDE w:val="0"/>
                    <w:autoSpaceDN w:val="0"/>
                    <w:snapToGrid w:val="0"/>
                    <w:spacing w:line="320" w:lineRule="exact"/>
                    <w:jc w:val="center"/>
                    <w:rPr>
                      <w:rFonts w:hint="eastAsia" w:eastAsia="宋体"/>
                      <w:lang w:eastAsia="zh-CN"/>
                    </w:rPr>
                  </w:pPr>
                  <w:r>
                    <w:rPr>
                      <w:rFonts w:hint="eastAsia" w:eastAsia="宋体"/>
                      <w:lang w:eastAsia="zh-CN"/>
                    </w:rPr>
                    <w:t>1、高端装备制造产业：现代工程机械、数控机床、智能纺织、智能农机、机器人和关键零部件；</w:t>
                  </w:r>
                </w:p>
                <w:p>
                  <w:pPr>
                    <w:autoSpaceDE w:val="0"/>
                    <w:autoSpaceDN w:val="0"/>
                    <w:snapToGrid w:val="0"/>
                    <w:spacing w:line="320" w:lineRule="exact"/>
                    <w:jc w:val="center"/>
                    <w:rPr>
                      <w:rFonts w:hint="eastAsia" w:eastAsia="宋体"/>
                      <w:lang w:eastAsia="zh-CN"/>
                    </w:rPr>
                  </w:pPr>
                  <w:r>
                    <w:rPr>
                      <w:rFonts w:hint="eastAsia" w:eastAsia="宋体"/>
                      <w:lang w:eastAsia="zh-CN"/>
                    </w:rPr>
                    <w:t>2、节能环保产业：LED照明、太阳能光伏、绿色电力装备、能源互联网；</w:t>
                  </w:r>
                </w:p>
                <w:p>
                  <w:pPr>
                    <w:autoSpaceDE w:val="0"/>
                    <w:autoSpaceDN w:val="0"/>
                    <w:snapToGrid w:val="0"/>
                    <w:spacing w:line="320" w:lineRule="exact"/>
                    <w:jc w:val="center"/>
                    <w:rPr>
                      <w:rFonts w:hint="eastAsia" w:eastAsia="宋体"/>
                      <w:lang w:eastAsia="zh-CN"/>
                    </w:rPr>
                  </w:pPr>
                  <w:r>
                    <w:rPr>
                      <w:rFonts w:hint="eastAsia" w:eastAsia="宋体"/>
                      <w:lang w:eastAsia="zh-CN"/>
                    </w:rPr>
                    <w:t>3、电子和智能信息产业：电子元器件、通信终端设备、工业信息服务、集成电路；</w:t>
                  </w:r>
                </w:p>
                <w:p>
                  <w:pPr>
                    <w:autoSpaceDE w:val="0"/>
                    <w:autoSpaceDN w:val="0"/>
                    <w:snapToGrid w:val="0"/>
                    <w:spacing w:line="320" w:lineRule="exact"/>
                    <w:jc w:val="center"/>
                    <w:rPr>
                      <w:rFonts w:hint="eastAsia" w:eastAsia="宋体"/>
                      <w:lang w:eastAsia="zh-CN"/>
                    </w:rPr>
                  </w:pPr>
                  <w:r>
                    <w:rPr>
                      <w:rFonts w:hint="eastAsia" w:eastAsia="宋体"/>
                      <w:lang w:eastAsia="zh-CN"/>
                    </w:rPr>
                    <w:t>4、新型交通产业：轨道交通、智电汽车整车及零部件。</w:t>
                  </w:r>
                </w:p>
              </w:tc>
              <w:tc>
                <w:tcPr>
                  <w:tcW w:w="2240" w:type="dxa"/>
                  <w:tcMar>
                    <w:top w:w="0" w:type="dxa"/>
                    <w:left w:w="0" w:type="dxa"/>
                    <w:bottom w:w="0" w:type="dxa"/>
                    <w:right w:w="0" w:type="dxa"/>
                  </w:tcMar>
                  <w:vAlign w:val="center"/>
                </w:tcPr>
                <w:p>
                  <w:pPr>
                    <w:autoSpaceDE w:val="0"/>
                    <w:autoSpaceDN w:val="0"/>
                    <w:snapToGrid w:val="0"/>
                    <w:spacing w:line="320" w:lineRule="exact"/>
                    <w:jc w:val="center"/>
                    <w:rPr>
                      <w:rFonts w:hint="eastAsia" w:eastAsia="宋体"/>
                      <w:lang w:eastAsia="zh-CN"/>
                    </w:rPr>
                  </w:pPr>
                  <w:r>
                    <w:rPr>
                      <w:rFonts w:hint="eastAsia" w:eastAsia="宋体"/>
                      <w:lang w:eastAsia="zh-CN"/>
                    </w:rPr>
                    <w:t>本项目产品为医疗器械用塑料包装袋，</w:t>
                  </w:r>
                  <w:r>
                    <w:rPr>
                      <w:rFonts w:hint="eastAsia"/>
                      <w:lang w:val="en-US" w:eastAsia="zh-CN"/>
                    </w:rPr>
                    <w:t>配套园区内医疗器械企业包装</w:t>
                  </w:r>
                  <w:r>
                    <w:rPr>
                      <w:rFonts w:hint="eastAsia" w:eastAsia="宋体"/>
                      <w:lang w:eastAsia="zh-CN"/>
                    </w:rPr>
                    <w:t>，为C2921塑料薄膜制造，与高新区产业定位相符，符合园区相关规划。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323" w:type="dxa"/>
                  <w:vMerge w:val="continue"/>
                  <w:tcMar>
                    <w:top w:w="0" w:type="dxa"/>
                    <w:left w:w="0" w:type="dxa"/>
                    <w:bottom w:w="0" w:type="dxa"/>
                    <w:right w:w="0" w:type="dxa"/>
                  </w:tcMar>
                  <w:vAlign w:val="center"/>
                </w:tcPr>
                <w:p>
                  <w:pPr>
                    <w:autoSpaceDE w:val="0"/>
                    <w:autoSpaceDN w:val="0"/>
                    <w:snapToGrid w:val="0"/>
                    <w:spacing w:line="320" w:lineRule="exact"/>
                    <w:jc w:val="center"/>
                  </w:pPr>
                </w:p>
              </w:tc>
              <w:tc>
                <w:tcPr>
                  <w:tcW w:w="763" w:type="dxa"/>
                  <w:tcMar>
                    <w:top w:w="0" w:type="dxa"/>
                    <w:left w:w="0" w:type="dxa"/>
                    <w:bottom w:w="0" w:type="dxa"/>
                    <w:right w:w="0" w:type="dxa"/>
                  </w:tcMar>
                  <w:vAlign w:val="center"/>
                </w:tcPr>
                <w:p>
                  <w:pPr>
                    <w:autoSpaceDE w:val="0"/>
                    <w:autoSpaceDN w:val="0"/>
                    <w:snapToGrid w:val="0"/>
                    <w:spacing w:line="320" w:lineRule="exact"/>
                    <w:jc w:val="center"/>
                    <w:rPr>
                      <w:rFonts w:hint="eastAsia"/>
                      <w:lang w:val="en-US" w:eastAsia="zh-CN"/>
                    </w:rPr>
                  </w:pPr>
                  <w:r>
                    <w:rPr>
                      <w:rFonts w:hint="eastAsia"/>
                      <w:lang w:val="en-US" w:eastAsia="zh-CN"/>
                    </w:rPr>
                    <w:t>禁止</w:t>
                  </w:r>
                </w:p>
                <w:p>
                  <w:pPr>
                    <w:autoSpaceDE w:val="0"/>
                    <w:autoSpaceDN w:val="0"/>
                    <w:snapToGrid w:val="0"/>
                    <w:spacing w:line="320" w:lineRule="exact"/>
                    <w:jc w:val="center"/>
                    <w:rPr>
                      <w:rFonts w:hint="default" w:eastAsia="宋体"/>
                      <w:lang w:val="en-US" w:eastAsia="zh-CN"/>
                    </w:rPr>
                  </w:pPr>
                  <w:r>
                    <w:rPr>
                      <w:rFonts w:hint="eastAsia"/>
                      <w:lang w:val="en-US" w:eastAsia="zh-CN"/>
                    </w:rPr>
                    <w:t>引入</w:t>
                  </w:r>
                </w:p>
              </w:tc>
              <w:tc>
                <w:tcPr>
                  <w:tcW w:w="3668" w:type="dxa"/>
                  <w:tcMar>
                    <w:top w:w="0" w:type="dxa"/>
                    <w:left w:w="0" w:type="dxa"/>
                    <w:bottom w:w="0" w:type="dxa"/>
                    <w:right w:w="0" w:type="dxa"/>
                  </w:tcMar>
                  <w:vAlign w:val="center"/>
                </w:tcPr>
                <w:p>
                  <w:pPr>
                    <w:autoSpaceDE w:val="0"/>
                    <w:autoSpaceDN w:val="0"/>
                    <w:snapToGrid w:val="0"/>
                    <w:spacing w:line="320" w:lineRule="exact"/>
                    <w:jc w:val="center"/>
                    <w:rPr>
                      <w:rFonts w:hint="eastAsia"/>
                    </w:rPr>
                  </w:pPr>
                  <w:r>
                    <w:rPr>
                      <w:rFonts w:hint="eastAsia"/>
                    </w:rPr>
                    <w:t>1、禁止引入《产业结构调整指导目录（2019年本）》及其他国家和地方产业政策中淘汰或禁止类的建设项目和工艺；</w:t>
                  </w:r>
                </w:p>
                <w:p>
                  <w:pPr>
                    <w:autoSpaceDE w:val="0"/>
                    <w:autoSpaceDN w:val="0"/>
                    <w:snapToGrid w:val="0"/>
                    <w:spacing w:line="320" w:lineRule="exact"/>
                    <w:jc w:val="center"/>
                    <w:rPr>
                      <w:rFonts w:hint="eastAsia"/>
                    </w:rPr>
                  </w:pPr>
                  <w:r>
                    <w:rPr>
                      <w:rFonts w:hint="eastAsia"/>
                    </w:rPr>
                    <w:t>2、禁止引入不符合《江苏省太湖水污染防治条例》、《长江经济带发展负面清单指南（试行）》、《长江经济带发展负面清单指南（试行）江苏省实施细则》的企业或项目；</w:t>
                  </w:r>
                </w:p>
                <w:p>
                  <w:pPr>
                    <w:autoSpaceDE w:val="0"/>
                    <w:autoSpaceDN w:val="0"/>
                    <w:snapToGrid w:val="0"/>
                    <w:spacing w:line="320" w:lineRule="exact"/>
                    <w:jc w:val="center"/>
                    <w:rPr>
                      <w:rFonts w:hint="eastAsia"/>
                    </w:rPr>
                  </w:pPr>
                  <w:r>
                    <w:rPr>
                      <w:rFonts w:hint="eastAsia"/>
                    </w:rPr>
                    <w:t>3、禁止新建钢铁、煤电、化工、印染项目；</w:t>
                  </w:r>
                </w:p>
                <w:p>
                  <w:pPr>
                    <w:autoSpaceDE w:val="0"/>
                    <w:autoSpaceDN w:val="0"/>
                    <w:snapToGrid w:val="0"/>
                    <w:spacing w:line="320" w:lineRule="exact"/>
                    <w:jc w:val="center"/>
                    <w:rPr>
                      <w:rFonts w:hint="eastAsia"/>
                    </w:rPr>
                  </w:pPr>
                  <w:r>
                    <w:rPr>
                      <w:rFonts w:hint="eastAsia"/>
                    </w:rPr>
                    <w:t>4、禁止引入危险化学品仓储企业；</w:t>
                  </w:r>
                </w:p>
                <w:p>
                  <w:pPr>
                    <w:autoSpaceDE w:val="0"/>
                    <w:autoSpaceDN w:val="0"/>
                    <w:snapToGrid w:val="0"/>
                    <w:spacing w:line="320" w:lineRule="exact"/>
                    <w:jc w:val="center"/>
                    <w:rPr>
                      <w:rFonts w:hint="eastAsia"/>
                    </w:rPr>
                  </w:pPr>
                  <w:r>
                    <w:rPr>
                      <w:rFonts w:hint="eastAsia"/>
                    </w:rPr>
                    <w:t>5、禁止引入国家、省相关文件中规定的高耗能、高排放项目；</w:t>
                  </w:r>
                </w:p>
                <w:p>
                  <w:pPr>
                    <w:autoSpaceDE w:val="0"/>
                    <w:autoSpaceDN w:val="0"/>
                    <w:snapToGrid w:val="0"/>
                    <w:spacing w:line="320" w:lineRule="exact"/>
                    <w:jc w:val="center"/>
                    <w:rPr>
                      <w:rFonts w:hint="eastAsia"/>
                    </w:rPr>
                  </w:pPr>
                  <w:r>
                    <w:rPr>
                      <w:rFonts w:hint="eastAsia"/>
                    </w:rPr>
                    <w:t>6、智能装备制造、新型交通产业：禁止引入含冶炼、轧钢工艺的项目，禁止引入专业从事电镀表面处理的项目，涉电镀工艺工段原则上需进入表面处理产业中心；</w:t>
                  </w:r>
                </w:p>
                <w:p>
                  <w:pPr>
                    <w:autoSpaceDE w:val="0"/>
                    <w:autoSpaceDN w:val="0"/>
                    <w:snapToGrid w:val="0"/>
                    <w:spacing w:line="320" w:lineRule="exact"/>
                    <w:jc w:val="center"/>
                    <w:rPr>
                      <w:rFonts w:hint="eastAsia"/>
                    </w:rPr>
                  </w:pPr>
                  <w:r>
                    <w:rPr>
                      <w:rFonts w:hint="eastAsia"/>
                    </w:rPr>
                    <w:t>7、节能环保产业：禁止引入涉及硅料生产及铸锭（拉棒）项目的企业（为提升优化园区产业链的项目除外）；</w:t>
                  </w:r>
                </w:p>
                <w:p>
                  <w:pPr>
                    <w:autoSpaceDE w:val="0"/>
                    <w:autoSpaceDN w:val="0"/>
                    <w:snapToGrid w:val="0"/>
                    <w:spacing w:line="320" w:lineRule="exact"/>
                    <w:jc w:val="center"/>
                  </w:pPr>
                  <w:r>
                    <w:rPr>
                      <w:rFonts w:hint="eastAsia"/>
                    </w:rPr>
                    <w:t>8、电子和智能信息产业：禁止引入专业从事电镀表面处理的项目，涉电镀工艺工段原则上需进入表面处理产业中心。</w:t>
                  </w:r>
                </w:p>
              </w:tc>
              <w:tc>
                <w:tcPr>
                  <w:tcW w:w="2240" w:type="dxa"/>
                  <w:tcMar>
                    <w:top w:w="0" w:type="dxa"/>
                    <w:left w:w="0" w:type="dxa"/>
                    <w:bottom w:w="0" w:type="dxa"/>
                    <w:right w:w="0" w:type="dxa"/>
                  </w:tcMar>
                  <w:vAlign w:val="center"/>
                </w:tcPr>
                <w:p>
                  <w:pPr>
                    <w:autoSpaceDE w:val="0"/>
                    <w:autoSpaceDN w:val="0"/>
                    <w:snapToGrid w:val="0"/>
                    <w:spacing w:line="320" w:lineRule="exact"/>
                    <w:jc w:val="center"/>
                  </w:pPr>
                  <w:r>
                    <w:rPr>
                      <w:rFonts w:hint="eastAsia"/>
                    </w:rPr>
                    <w:t>本项目为</w:t>
                  </w:r>
                  <w:r>
                    <w:rPr>
                      <w:rFonts w:hint="eastAsia"/>
                      <w:lang w:eastAsia="zh-CN"/>
                    </w:rPr>
                    <w:t>C2921塑料薄膜制造</w:t>
                  </w:r>
                  <w:r>
                    <w:rPr>
                      <w:rFonts w:hint="eastAsia"/>
                    </w:rPr>
                    <w:t>，不属于禁止引入类项目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6" w:type="dxa"/>
                  <w:gridSpan w:val="2"/>
                  <w:tcMar>
                    <w:top w:w="0" w:type="dxa"/>
                    <w:left w:w="0" w:type="dxa"/>
                    <w:bottom w:w="0" w:type="dxa"/>
                    <w:right w:w="0" w:type="dxa"/>
                  </w:tcMar>
                  <w:vAlign w:val="center"/>
                </w:tcPr>
                <w:p>
                  <w:pPr>
                    <w:autoSpaceDE w:val="0"/>
                    <w:autoSpaceDN w:val="0"/>
                    <w:snapToGrid w:val="0"/>
                    <w:spacing w:line="320" w:lineRule="exact"/>
                    <w:jc w:val="center"/>
                    <w:rPr>
                      <w:rFonts w:hint="eastAsia" w:eastAsia="宋体"/>
                      <w:lang w:eastAsia="zh-CN"/>
                    </w:rPr>
                  </w:pPr>
                  <w:r>
                    <w:rPr>
                      <w:rFonts w:hint="eastAsia" w:eastAsia="宋体"/>
                      <w:lang w:eastAsia="zh-CN"/>
                    </w:rPr>
                    <w:t>空间布局</w:t>
                  </w:r>
                </w:p>
                <w:p>
                  <w:pPr>
                    <w:autoSpaceDE w:val="0"/>
                    <w:autoSpaceDN w:val="0"/>
                    <w:snapToGrid w:val="0"/>
                    <w:spacing w:line="320" w:lineRule="exact"/>
                    <w:jc w:val="center"/>
                    <w:rPr>
                      <w:rFonts w:hint="eastAsia" w:eastAsia="宋体"/>
                      <w:lang w:eastAsia="zh-CN"/>
                    </w:rPr>
                  </w:pPr>
                  <w:r>
                    <w:rPr>
                      <w:rFonts w:hint="eastAsia" w:eastAsia="宋体"/>
                      <w:lang w:eastAsia="zh-CN"/>
                    </w:rPr>
                    <w:t>约束</w:t>
                  </w:r>
                </w:p>
              </w:tc>
              <w:tc>
                <w:tcPr>
                  <w:tcW w:w="3668" w:type="dxa"/>
                  <w:tcMar>
                    <w:top w:w="0" w:type="dxa"/>
                    <w:left w:w="0" w:type="dxa"/>
                    <w:bottom w:w="0" w:type="dxa"/>
                    <w:right w:w="0" w:type="dxa"/>
                  </w:tcMar>
                  <w:vAlign w:val="center"/>
                </w:tcPr>
                <w:p>
                  <w:pPr>
                    <w:autoSpaceDE w:val="0"/>
                    <w:autoSpaceDN w:val="0"/>
                    <w:snapToGrid w:val="0"/>
                    <w:spacing w:line="320" w:lineRule="exact"/>
                    <w:jc w:val="center"/>
                    <w:rPr>
                      <w:rFonts w:hint="eastAsia" w:eastAsia="宋体"/>
                      <w:lang w:eastAsia="zh-CN"/>
                    </w:rPr>
                  </w:pPr>
                  <w:r>
                    <w:rPr>
                      <w:rFonts w:hint="eastAsia" w:eastAsia="宋体"/>
                      <w:lang w:eastAsia="zh-CN"/>
                    </w:rPr>
                    <w:t>1、入区项目不得违反《长江经济带发展负面清单指南（试行）》、《长江经济带发展负面清单指南（试行）江苏省实施细则》规定的河段利用与岸线开发、区域活动、产业发展要求；</w:t>
                  </w:r>
                </w:p>
                <w:p>
                  <w:pPr>
                    <w:autoSpaceDE w:val="0"/>
                    <w:autoSpaceDN w:val="0"/>
                    <w:snapToGrid w:val="0"/>
                    <w:spacing w:line="320" w:lineRule="exact"/>
                    <w:jc w:val="center"/>
                    <w:rPr>
                      <w:rFonts w:hint="eastAsia" w:eastAsia="宋体"/>
                      <w:lang w:eastAsia="zh-CN"/>
                    </w:rPr>
                  </w:pPr>
                  <w:r>
                    <w:rPr>
                      <w:rFonts w:hint="eastAsia" w:eastAsia="宋体"/>
                      <w:lang w:eastAsia="zh-CN"/>
                    </w:rPr>
                    <w:t>2、入区项目需满足《太湖流域管理条例》、《江苏省太湖水污染防治条例》、《江苏省生态空间管控区域规划》、《江苏省国家生态保护红线规划》管控要求；</w:t>
                  </w:r>
                </w:p>
                <w:p>
                  <w:pPr>
                    <w:autoSpaceDE w:val="0"/>
                    <w:autoSpaceDN w:val="0"/>
                    <w:snapToGrid w:val="0"/>
                    <w:spacing w:line="320" w:lineRule="exact"/>
                    <w:jc w:val="center"/>
                    <w:rPr>
                      <w:rFonts w:hint="eastAsia" w:eastAsia="宋体"/>
                      <w:lang w:eastAsia="zh-CN"/>
                    </w:rPr>
                  </w:pPr>
                  <w:r>
                    <w:rPr>
                      <w:rFonts w:hint="eastAsia" w:eastAsia="宋体"/>
                      <w:lang w:eastAsia="zh-CN"/>
                    </w:rPr>
                    <w:t>3、在居住用地与工业用地之间设置不少于50m 的空间隔离带；</w:t>
                  </w:r>
                </w:p>
                <w:p>
                  <w:pPr>
                    <w:autoSpaceDE w:val="0"/>
                    <w:autoSpaceDN w:val="0"/>
                    <w:snapToGrid w:val="0"/>
                    <w:spacing w:line="320" w:lineRule="exact"/>
                    <w:jc w:val="center"/>
                    <w:rPr>
                      <w:rFonts w:hint="eastAsia" w:eastAsia="宋体"/>
                      <w:lang w:eastAsia="zh-CN"/>
                    </w:rPr>
                  </w:pPr>
                  <w:r>
                    <w:rPr>
                      <w:rFonts w:hint="eastAsia" w:eastAsia="宋体"/>
                      <w:lang w:eastAsia="zh-CN"/>
                    </w:rPr>
                    <w:t>4、入区项目严格按照环评要求设置相应的卫生防护距离或环境防护距离，确保该范围内不涉及住宅、学校等敏感目标；</w:t>
                  </w:r>
                </w:p>
                <w:p>
                  <w:pPr>
                    <w:autoSpaceDE w:val="0"/>
                    <w:autoSpaceDN w:val="0"/>
                    <w:snapToGrid w:val="0"/>
                    <w:spacing w:line="320" w:lineRule="exact"/>
                    <w:jc w:val="center"/>
                    <w:rPr>
                      <w:rFonts w:hint="eastAsia" w:eastAsia="宋体"/>
                      <w:lang w:eastAsia="zh-CN"/>
                    </w:rPr>
                  </w:pPr>
                  <w:r>
                    <w:rPr>
                      <w:rFonts w:hint="eastAsia" w:eastAsia="宋体"/>
                      <w:lang w:eastAsia="zh-CN"/>
                    </w:rPr>
                    <w:t>5、环湖路东侧居住用地严禁高密度建设，减少对滆湖生态空间的环境扰动。</w:t>
                  </w:r>
                </w:p>
              </w:tc>
              <w:tc>
                <w:tcPr>
                  <w:tcW w:w="2240" w:type="dxa"/>
                  <w:tcMar>
                    <w:top w:w="0" w:type="dxa"/>
                    <w:left w:w="0" w:type="dxa"/>
                    <w:bottom w:w="0" w:type="dxa"/>
                    <w:right w:w="0" w:type="dxa"/>
                  </w:tcMar>
                  <w:vAlign w:val="center"/>
                </w:tcPr>
                <w:p>
                  <w:pPr>
                    <w:autoSpaceDE w:val="0"/>
                    <w:autoSpaceDN w:val="0"/>
                    <w:snapToGrid w:val="0"/>
                    <w:spacing w:line="320" w:lineRule="exact"/>
                    <w:jc w:val="center"/>
                    <w:rPr>
                      <w:rFonts w:hint="eastAsia" w:eastAsia="宋体"/>
                      <w:lang w:eastAsia="zh-CN"/>
                    </w:rPr>
                  </w:pPr>
                  <w:r>
                    <w:rPr>
                      <w:rFonts w:hint="eastAsia" w:eastAsia="宋体"/>
                      <w:lang w:eastAsia="zh-CN"/>
                    </w:rPr>
                    <w:t>本项目符合《长江经济带发展负面清单指南（试行，2022年版）》、</w:t>
                  </w:r>
                </w:p>
                <w:p>
                  <w:pPr>
                    <w:autoSpaceDE w:val="0"/>
                    <w:autoSpaceDN w:val="0"/>
                    <w:snapToGrid w:val="0"/>
                    <w:spacing w:line="320" w:lineRule="exact"/>
                    <w:jc w:val="center"/>
                    <w:rPr>
                      <w:rFonts w:hint="eastAsia" w:eastAsia="宋体"/>
                      <w:lang w:eastAsia="zh-CN"/>
                    </w:rPr>
                  </w:pPr>
                  <w:r>
                    <w:rPr>
                      <w:rFonts w:hint="eastAsia" w:eastAsia="宋体"/>
                      <w:lang w:eastAsia="zh-CN"/>
                    </w:rPr>
                    <w:t>《长江经济带发展负面清单指南（试行）江苏省实施细则》中相关要求；满足《太湖流域管理条例》、《江苏省太湖水污染防治条例》、《江苏省生态空间管控区域规划》、《江苏省国家生态保护红线规划》管控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23" w:type="dxa"/>
                  <w:vMerge w:val="restart"/>
                  <w:tcMar>
                    <w:top w:w="0" w:type="dxa"/>
                    <w:left w:w="0" w:type="dxa"/>
                    <w:bottom w:w="0" w:type="dxa"/>
                    <w:right w:w="0" w:type="dxa"/>
                  </w:tcMar>
                  <w:vAlign w:val="center"/>
                </w:tcPr>
                <w:p>
                  <w:pPr>
                    <w:autoSpaceDE w:val="0"/>
                    <w:autoSpaceDN w:val="0"/>
                    <w:snapToGrid w:val="0"/>
                    <w:spacing w:line="320" w:lineRule="exact"/>
                    <w:jc w:val="center"/>
                    <w:rPr>
                      <w:rFonts w:hint="eastAsia"/>
                    </w:rPr>
                  </w:pPr>
                  <w:r>
                    <w:rPr>
                      <w:rFonts w:hint="eastAsia"/>
                    </w:rPr>
                    <w:t>污</w:t>
                  </w:r>
                </w:p>
                <w:p>
                  <w:pPr>
                    <w:autoSpaceDE w:val="0"/>
                    <w:autoSpaceDN w:val="0"/>
                    <w:snapToGrid w:val="0"/>
                    <w:spacing w:line="320" w:lineRule="exact"/>
                    <w:jc w:val="center"/>
                    <w:rPr>
                      <w:rFonts w:hint="eastAsia"/>
                    </w:rPr>
                  </w:pPr>
                  <w:r>
                    <w:rPr>
                      <w:rFonts w:hint="eastAsia"/>
                    </w:rPr>
                    <w:t>染</w:t>
                  </w:r>
                </w:p>
                <w:p>
                  <w:pPr>
                    <w:autoSpaceDE w:val="0"/>
                    <w:autoSpaceDN w:val="0"/>
                    <w:snapToGrid w:val="0"/>
                    <w:spacing w:line="320" w:lineRule="exact"/>
                    <w:jc w:val="center"/>
                    <w:rPr>
                      <w:rFonts w:hint="eastAsia"/>
                    </w:rPr>
                  </w:pPr>
                  <w:r>
                    <w:rPr>
                      <w:rFonts w:hint="eastAsia"/>
                    </w:rPr>
                    <w:t>物</w:t>
                  </w:r>
                </w:p>
                <w:p>
                  <w:pPr>
                    <w:autoSpaceDE w:val="0"/>
                    <w:autoSpaceDN w:val="0"/>
                    <w:snapToGrid w:val="0"/>
                    <w:spacing w:line="320" w:lineRule="exact"/>
                    <w:jc w:val="center"/>
                    <w:rPr>
                      <w:rFonts w:hint="eastAsia"/>
                    </w:rPr>
                  </w:pPr>
                  <w:r>
                    <w:rPr>
                      <w:rFonts w:hint="eastAsia"/>
                    </w:rPr>
                    <w:t>排</w:t>
                  </w:r>
                </w:p>
                <w:p>
                  <w:pPr>
                    <w:autoSpaceDE w:val="0"/>
                    <w:autoSpaceDN w:val="0"/>
                    <w:snapToGrid w:val="0"/>
                    <w:spacing w:line="320" w:lineRule="exact"/>
                    <w:jc w:val="center"/>
                    <w:rPr>
                      <w:rFonts w:hint="eastAsia"/>
                    </w:rPr>
                  </w:pPr>
                  <w:r>
                    <w:rPr>
                      <w:rFonts w:hint="eastAsia"/>
                    </w:rPr>
                    <w:t>放</w:t>
                  </w:r>
                </w:p>
                <w:p>
                  <w:pPr>
                    <w:autoSpaceDE w:val="0"/>
                    <w:autoSpaceDN w:val="0"/>
                    <w:snapToGrid w:val="0"/>
                    <w:spacing w:line="320" w:lineRule="exact"/>
                    <w:jc w:val="center"/>
                    <w:rPr>
                      <w:rFonts w:hint="eastAsia"/>
                    </w:rPr>
                  </w:pPr>
                  <w:r>
                    <w:rPr>
                      <w:rFonts w:hint="eastAsia"/>
                    </w:rPr>
                    <w:t>管</w:t>
                  </w:r>
                </w:p>
                <w:p>
                  <w:pPr>
                    <w:autoSpaceDE w:val="0"/>
                    <w:autoSpaceDN w:val="0"/>
                    <w:snapToGrid w:val="0"/>
                    <w:spacing w:line="320" w:lineRule="exact"/>
                    <w:jc w:val="center"/>
                  </w:pPr>
                  <w:r>
                    <w:rPr>
                      <w:rFonts w:hint="eastAsia"/>
                    </w:rPr>
                    <w:t>控</w:t>
                  </w:r>
                </w:p>
              </w:tc>
              <w:tc>
                <w:tcPr>
                  <w:tcW w:w="763" w:type="dxa"/>
                  <w:tcMar>
                    <w:top w:w="0" w:type="dxa"/>
                    <w:left w:w="0" w:type="dxa"/>
                    <w:bottom w:w="0" w:type="dxa"/>
                    <w:right w:w="0" w:type="dxa"/>
                  </w:tcMar>
                  <w:vAlign w:val="center"/>
                </w:tcPr>
                <w:p>
                  <w:pPr>
                    <w:autoSpaceDE w:val="0"/>
                    <w:autoSpaceDN w:val="0"/>
                    <w:snapToGrid w:val="0"/>
                    <w:spacing w:line="320" w:lineRule="exact"/>
                    <w:jc w:val="center"/>
                    <w:rPr>
                      <w:rFonts w:hint="eastAsia"/>
                      <w:lang w:val="en-US" w:eastAsia="zh-CN"/>
                    </w:rPr>
                  </w:pPr>
                  <w:r>
                    <w:rPr>
                      <w:rFonts w:hint="eastAsia"/>
                      <w:lang w:val="en-US" w:eastAsia="zh-CN"/>
                    </w:rPr>
                    <w:t>总体</w:t>
                  </w:r>
                </w:p>
                <w:p>
                  <w:pPr>
                    <w:autoSpaceDE w:val="0"/>
                    <w:autoSpaceDN w:val="0"/>
                    <w:snapToGrid w:val="0"/>
                    <w:spacing w:line="320" w:lineRule="exact"/>
                    <w:jc w:val="center"/>
                    <w:rPr>
                      <w:rFonts w:hint="default" w:eastAsia="宋体"/>
                      <w:lang w:val="en-US" w:eastAsia="zh-CN"/>
                    </w:rPr>
                  </w:pPr>
                  <w:r>
                    <w:rPr>
                      <w:rFonts w:hint="eastAsia"/>
                      <w:lang w:val="en-US" w:eastAsia="zh-CN"/>
                    </w:rPr>
                    <w:t>要求</w:t>
                  </w:r>
                </w:p>
              </w:tc>
              <w:tc>
                <w:tcPr>
                  <w:tcW w:w="3668" w:type="dxa"/>
                  <w:tcMar>
                    <w:top w:w="0" w:type="dxa"/>
                    <w:left w:w="0" w:type="dxa"/>
                    <w:bottom w:w="0" w:type="dxa"/>
                    <w:right w:w="0" w:type="dxa"/>
                  </w:tcMar>
                  <w:vAlign w:val="center"/>
                </w:tcPr>
                <w:p>
                  <w:pPr>
                    <w:autoSpaceDE w:val="0"/>
                    <w:autoSpaceDN w:val="0"/>
                    <w:snapToGrid w:val="0"/>
                    <w:spacing w:line="320" w:lineRule="exact"/>
                    <w:jc w:val="center"/>
                    <w:rPr>
                      <w:rFonts w:hint="eastAsia" w:eastAsia="宋体"/>
                      <w:lang w:eastAsia="zh-CN"/>
                    </w:rPr>
                  </w:pPr>
                  <w:r>
                    <w:rPr>
                      <w:rFonts w:hint="eastAsia" w:eastAsia="宋体"/>
                      <w:lang w:eastAsia="zh-CN"/>
                    </w:rPr>
                    <w:t>1、排放污染物必须达到国家和地方规定的污染物排放标准；</w:t>
                  </w:r>
                </w:p>
                <w:p>
                  <w:pPr>
                    <w:autoSpaceDE w:val="0"/>
                    <w:autoSpaceDN w:val="0"/>
                    <w:snapToGrid w:val="0"/>
                    <w:spacing w:line="320" w:lineRule="exact"/>
                    <w:jc w:val="center"/>
                    <w:rPr>
                      <w:rFonts w:hint="eastAsia" w:eastAsia="宋体"/>
                      <w:lang w:eastAsia="zh-CN"/>
                    </w:rPr>
                  </w:pPr>
                  <w:r>
                    <w:rPr>
                      <w:rFonts w:hint="eastAsia" w:eastAsia="宋体"/>
                      <w:lang w:eastAsia="zh-CN"/>
                    </w:rPr>
                    <w:t>2、建设项目主要污染物（颗粒物、二氧化硫、氮氧化物、VOCs）排放总量指标按工程减排类项目2倍削减量替代或关闭类项目1.5倍削减</w:t>
                  </w:r>
                </w:p>
                <w:p>
                  <w:pPr>
                    <w:autoSpaceDE w:val="0"/>
                    <w:autoSpaceDN w:val="0"/>
                    <w:snapToGrid w:val="0"/>
                    <w:spacing w:line="320" w:lineRule="exact"/>
                    <w:jc w:val="center"/>
                    <w:rPr>
                      <w:rFonts w:hint="eastAsia" w:eastAsia="宋体"/>
                      <w:lang w:eastAsia="zh-CN"/>
                    </w:rPr>
                  </w:pPr>
                  <w:r>
                    <w:rPr>
                      <w:rFonts w:hint="eastAsia" w:eastAsia="宋体"/>
                      <w:lang w:eastAsia="zh-CN"/>
                    </w:rPr>
                    <w:t>量替代等相关要求执行；重点重金属污染物（铅、汞、镉、铬、砷）按有关要求执行“减量置换”或“等量替换”；</w:t>
                  </w:r>
                </w:p>
                <w:p>
                  <w:pPr>
                    <w:autoSpaceDE w:val="0"/>
                    <w:autoSpaceDN w:val="0"/>
                    <w:snapToGrid w:val="0"/>
                    <w:spacing w:line="320" w:lineRule="exact"/>
                    <w:jc w:val="center"/>
                    <w:rPr>
                      <w:rFonts w:hint="eastAsia" w:eastAsia="宋体"/>
                      <w:lang w:eastAsia="zh-CN"/>
                    </w:rPr>
                  </w:pPr>
                  <w:r>
                    <w:rPr>
                      <w:rFonts w:hint="eastAsia" w:eastAsia="宋体"/>
                      <w:lang w:eastAsia="zh-CN"/>
                    </w:rPr>
                    <w:t>3、按照《江苏省挥发性有机物清洁原料替代工作方案》（苏大气办〔2021〕2号）要求，积极开展园区挥发性有机物清洁原料推广替代工作。</w:t>
                  </w:r>
                </w:p>
              </w:tc>
              <w:tc>
                <w:tcPr>
                  <w:tcW w:w="2240" w:type="dxa"/>
                  <w:tcMar>
                    <w:top w:w="0" w:type="dxa"/>
                    <w:left w:w="0" w:type="dxa"/>
                    <w:bottom w:w="0" w:type="dxa"/>
                    <w:right w:w="0" w:type="dxa"/>
                  </w:tcMar>
                  <w:vAlign w:val="center"/>
                </w:tcPr>
                <w:p>
                  <w:pPr>
                    <w:autoSpaceDE w:val="0"/>
                    <w:autoSpaceDN w:val="0"/>
                    <w:snapToGrid w:val="0"/>
                    <w:spacing w:line="320" w:lineRule="exact"/>
                    <w:jc w:val="center"/>
                    <w:rPr>
                      <w:rFonts w:hint="eastAsia" w:eastAsia="宋体"/>
                      <w:lang w:eastAsia="zh-CN"/>
                    </w:rPr>
                  </w:pPr>
                  <w:r>
                    <w:rPr>
                      <w:rFonts w:hint="eastAsia" w:eastAsia="宋体"/>
                      <w:lang w:eastAsia="zh-CN"/>
                    </w:rPr>
                    <w:t>生产过程中产生的污染物均得到有效控制，VOCs经治理后能够达标排放，排放总量在区</w:t>
                  </w:r>
                </w:p>
                <w:p>
                  <w:pPr>
                    <w:autoSpaceDE w:val="0"/>
                    <w:autoSpaceDN w:val="0"/>
                    <w:snapToGrid w:val="0"/>
                    <w:spacing w:line="320" w:lineRule="exact"/>
                    <w:jc w:val="center"/>
                    <w:rPr>
                      <w:rFonts w:hint="eastAsia" w:eastAsia="宋体"/>
                      <w:lang w:eastAsia="zh-CN"/>
                    </w:rPr>
                  </w:pPr>
                  <w:r>
                    <w:rPr>
                      <w:rFonts w:hint="eastAsia" w:eastAsia="宋体"/>
                      <w:lang w:eastAsia="zh-CN"/>
                    </w:rPr>
                    <w:t>域内进行平衡。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23" w:type="dxa"/>
                  <w:vMerge w:val="continue"/>
                  <w:tcMar>
                    <w:top w:w="0" w:type="dxa"/>
                    <w:left w:w="0" w:type="dxa"/>
                    <w:bottom w:w="0" w:type="dxa"/>
                    <w:right w:w="0" w:type="dxa"/>
                  </w:tcMar>
                  <w:vAlign w:val="center"/>
                </w:tcPr>
                <w:p>
                  <w:pPr>
                    <w:autoSpaceDE w:val="0"/>
                    <w:autoSpaceDN w:val="0"/>
                    <w:snapToGrid w:val="0"/>
                    <w:spacing w:line="320" w:lineRule="exact"/>
                    <w:jc w:val="center"/>
                  </w:pPr>
                </w:p>
              </w:tc>
              <w:tc>
                <w:tcPr>
                  <w:tcW w:w="763" w:type="dxa"/>
                  <w:tcMar>
                    <w:top w:w="0" w:type="dxa"/>
                    <w:left w:w="0" w:type="dxa"/>
                    <w:bottom w:w="0" w:type="dxa"/>
                    <w:right w:w="0" w:type="dxa"/>
                  </w:tcMar>
                  <w:vAlign w:val="center"/>
                </w:tcPr>
                <w:p>
                  <w:pPr>
                    <w:autoSpaceDE w:val="0"/>
                    <w:autoSpaceDN w:val="0"/>
                    <w:snapToGrid w:val="0"/>
                    <w:spacing w:line="320" w:lineRule="exact"/>
                    <w:jc w:val="center"/>
                    <w:rPr>
                      <w:rFonts w:hint="eastAsia"/>
                      <w:lang w:val="en-US" w:eastAsia="zh-CN"/>
                    </w:rPr>
                  </w:pPr>
                  <w:r>
                    <w:rPr>
                      <w:rFonts w:hint="eastAsia"/>
                      <w:lang w:val="en-US" w:eastAsia="zh-CN"/>
                    </w:rPr>
                    <w:t>环境</w:t>
                  </w:r>
                </w:p>
                <w:p>
                  <w:pPr>
                    <w:autoSpaceDE w:val="0"/>
                    <w:autoSpaceDN w:val="0"/>
                    <w:snapToGrid w:val="0"/>
                    <w:spacing w:line="320" w:lineRule="exact"/>
                    <w:jc w:val="center"/>
                    <w:rPr>
                      <w:rFonts w:hint="default" w:eastAsia="宋体"/>
                      <w:lang w:val="en-US" w:eastAsia="zh-CN"/>
                    </w:rPr>
                  </w:pPr>
                  <w:r>
                    <w:rPr>
                      <w:rFonts w:hint="eastAsia"/>
                      <w:lang w:val="en-US" w:eastAsia="zh-CN"/>
                    </w:rPr>
                    <w:t>质量</w:t>
                  </w:r>
                </w:p>
              </w:tc>
              <w:tc>
                <w:tcPr>
                  <w:tcW w:w="3668" w:type="dxa"/>
                  <w:tcMar>
                    <w:top w:w="0" w:type="dxa"/>
                    <w:left w:w="0" w:type="dxa"/>
                    <w:bottom w:w="0" w:type="dxa"/>
                    <w:right w:w="0" w:type="dxa"/>
                  </w:tcMar>
                  <w:vAlign w:val="center"/>
                </w:tcPr>
                <w:p>
                  <w:pPr>
                    <w:autoSpaceDE w:val="0"/>
                    <w:autoSpaceDN w:val="0"/>
                    <w:snapToGrid w:val="0"/>
                    <w:spacing w:line="320" w:lineRule="exact"/>
                    <w:jc w:val="center"/>
                    <w:rPr>
                      <w:rFonts w:hint="eastAsia" w:eastAsia="宋体"/>
                      <w:lang w:eastAsia="zh-CN"/>
                    </w:rPr>
                  </w:pPr>
                  <w:r>
                    <w:rPr>
                      <w:rFonts w:hint="eastAsia" w:eastAsia="宋体"/>
                      <w:lang w:eastAsia="zh-CN"/>
                    </w:rPr>
                    <w:t>1、到2025年，PM</w:t>
                  </w:r>
                  <w:r>
                    <w:rPr>
                      <w:rFonts w:hint="eastAsia" w:eastAsia="宋体"/>
                      <w:vertAlign w:val="subscript"/>
                      <w:lang w:eastAsia="zh-CN"/>
                    </w:rPr>
                    <w:t>25</w:t>
                  </w:r>
                  <w:r>
                    <w:rPr>
                      <w:rFonts w:hint="eastAsia" w:eastAsia="宋体"/>
                      <w:lang w:eastAsia="zh-CN"/>
                    </w:rPr>
                    <w:t>、臭氧、二氧化氮年均值分别达到30、160、28微克/立方米；</w:t>
                  </w:r>
                </w:p>
                <w:p>
                  <w:pPr>
                    <w:autoSpaceDE w:val="0"/>
                    <w:autoSpaceDN w:val="0"/>
                    <w:snapToGrid w:val="0"/>
                    <w:spacing w:line="320" w:lineRule="exact"/>
                    <w:jc w:val="center"/>
                    <w:rPr>
                      <w:rFonts w:hint="eastAsia" w:eastAsia="宋体"/>
                      <w:lang w:eastAsia="zh-CN"/>
                    </w:rPr>
                  </w:pPr>
                  <w:r>
                    <w:rPr>
                      <w:rFonts w:hint="eastAsia" w:eastAsia="宋体"/>
                      <w:lang w:eastAsia="zh-CN"/>
                    </w:rPr>
                    <w:t>2、武南河、采菱港、永安河、太滆运河达到《地表水环境质量标准》（GB3838-2002）Ⅲ类标准；武宜运河、龙资河达到《地表水环境质量标准》（GB3838-2002）Ⅳ类标准；</w:t>
                  </w:r>
                </w:p>
                <w:p>
                  <w:pPr>
                    <w:autoSpaceDE w:val="0"/>
                    <w:autoSpaceDN w:val="0"/>
                    <w:snapToGrid w:val="0"/>
                    <w:spacing w:line="320" w:lineRule="exact"/>
                    <w:jc w:val="center"/>
                    <w:rPr>
                      <w:rFonts w:hint="eastAsia" w:eastAsia="宋体"/>
                      <w:lang w:eastAsia="zh-CN"/>
                    </w:rPr>
                  </w:pPr>
                  <w:r>
                    <w:rPr>
                      <w:rFonts w:hint="eastAsia" w:eastAsia="宋体"/>
                      <w:lang w:eastAsia="zh-CN"/>
                    </w:rPr>
                    <w:t>3、土壤环境质量达到《土壤环境质量建设用地土壤污染风险管控标准（试行）》（GB36600-2018）表1和表2 中的第一类、第二类用地筛选值标准。</w:t>
                  </w:r>
                </w:p>
              </w:tc>
              <w:tc>
                <w:tcPr>
                  <w:tcW w:w="2240" w:type="dxa"/>
                  <w:tcMar>
                    <w:top w:w="0" w:type="dxa"/>
                    <w:left w:w="0" w:type="dxa"/>
                    <w:bottom w:w="0" w:type="dxa"/>
                    <w:right w:w="0" w:type="dxa"/>
                  </w:tcMar>
                  <w:vAlign w:val="center"/>
                </w:tcPr>
                <w:p>
                  <w:pPr>
                    <w:autoSpaceDE w:val="0"/>
                    <w:autoSpaceDN w:val="0"/>
                    <w:snapToGrid w:val="0"/>
                    <w:spacing w:line="320" w:lineRule="exact"/>
                    <w:jc w:val="center"/>
                    <w:rPr>
                      <w:rFonts w:hint="eastAsia" w:eastAsia="宋体"/>
                      <w:lang w:eastAsia="zh-CN"/>
                    </w:rPr>
                  </w:pPr>
                  <w:r>
                    <w:rPr>
                      <w:rFonts w:hint="eastAsia" w:eastAsia="宋体"/>
                      <w:lang w:eastAsia="zh-CN"/>
                    </w:rPr>
                    <w:t>根据《202</w:t>
                  </w:r>
                  <w:r>
                    <w:rPr>
                      <w:rFonts w:hint="eastAsia"/>
                      <w:lang w:val="en-US" w:eastAsia="zh-CN"/>
                    </w:rPr>
                    <w:t>3</w:t>
                  </w:r>
                  <w:r>
                    <w:rPr>
                      <w:rFonts w:hint="eastAsia" w:eastAsia="宋体"/>
                      <w:lang w:eastAsia="zh-CN"/>
                    </w:rPr>
                    <w:t>年常州市生态环境状况公报》可知，项目所在地区域属于环境空气质量不达标区，为进一步改善常州市环境空气质量情况，常州市政府制定了相应的空气整治方案和计划，随着整治方案的不断推进，区域空气质量将会得到一定的改善。项目所在区域地表水、大气质量能够满</w:t>
                  </w:r>
                </w:p>
                <w:p>
                  <w:pPr>
                    <w:autoSpaceDE w:val="0"/>
                    <w:autoSpaceDN w:val="0"/>
                    <w:snapToGrid w:val="0"/>
                    <w:spacing w:line="320" w:lineRule="exact"/>
                    <w:jc w:val="center"/>
                    <w:rPr>
                      <w:rFonts w:hint="eastAsia" w:eastAsia="宋体"/>
                      <w:lang w:eastAsia="zh-CN"/>
                    </w:rPr>
                  </w:pPr>
                  <w:r>
                    <w:rPr>
                      <w:rFonts w:hint="eastAsia" w:eastAsia="宋体"/>
                      <w:lang w:eastAsia="zh-CN"/>
                    </w:rPr>
                    <w:t>足相应功能区划要求。</w:t>
                  </w:r>
                </w:p>
                <w:p>
                  <w:pPr>
                    <w:autoSpaceDE w:val="0"/>
                    <w:autoSpaceDN w:val="0"/>
                    <w:snapToGrid w:val="0"/>
                    <w:spacing w:line="320" w:lineRule="exact"/>
                    <w:jc w:val="center"/>
                    <w:rPr>
                      <w:rFonts w:hint="eastAsia" w:eastAsia="宋体"/>
                      <w:lang w:eastAsia="zh-CN"/>
                    </w:rPr>
                  </w:pPr>
                  <w:r>
                    <w:rPr>
                      <w:rFonts w:hint="eastAsia" w:eastAsia="宋体"/>
                      <w:lang w:eastAsia="zh-CN"/>
                    </w:rPr>
                    <w:t>本项目产生的污染物经采取相应污染物防治措施后，均能达标排放，对周围环境影响较小，不会改变区域环境现状。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23" w:type="dxa"/>
                  <w:vMerge w:val="continue"/>
                  <w:tcMar>
                    <w:top w:w="0" w:type="dxa"/>
                    <w:left w:w="0" w:type="dxa"/>
                    <w:bottom w:w="0" w:type="dxa"/>
                    <w:right w:w="0" w:type="dxa"/>
                  </w:tcMar>
                  <w:vAlign w:val="center"/>
                </w:tcPr>
                <w:p>
                  <w:pPr>
                    <w:autoSpaceDE w:val="0"/>
                    <w:autoSpaceDN w:val="0"/>
                    <w:snapToGrid w:val="0"/>
                    <w:spacing w:line="320" w:lineRule="exact"/>
                    <w:jc w:val="center"/>
                  </w:pPr>
                </w:p>
              </w:tc>
              <w:tc>
                <w:tcPr>
                  <w:tcW w:w="763" w:type="dxa"/>
                  <w:tcMar>
                    <w:top w:w="0" w:type="dxa"/>
                    <w:left w:w="0" w:type="dxa"/>
                    <w:bottom w:w="0" w:type="dxa"/>
                    <w:right w:w="0" w:type="dxa"/>
                  </w:tcMar>
                  <w:vAlign w:val="center"/>
                </w:tcPr>
                <w:p>
                  <w:pPr>
                    <w:autoSpaceDE w:val="0"/>
                    <w:autoSpaceDN w:val="0"/>
                    <w:snapToGrid w:val="0"/>
                    <w:spacing w:line="320" w:lineRule="exact"/>
                    <w:jc w:val="center"/>
                    <w:rPr>
                      <w:rFonts w:hint="eastAsia"/>
                      <w:lang w:val="en-US" w:eastAsia="zh-CN"/>
                    </w:rPr>
                  </w:pPr>
                  <w:r>
                    <w:rPr>
                      <w:rFonts w:hint="eastAsia"/>
                      <w:lang w:val="en-US" w:eastAsia="zh-CN"/>
                    </w:rPr>
                    <w:t>排污</w:t>
                  </w:r>
                </w:p>
                <w:p>
                  <w:pPr>
                    <w:autoSpaceDE w:val="0"/>
                    <w:autoSpaceDN w:val="0"/>
                    <w:snapToGrid w:val="0"/>
                    <w:spacing w:line="320" w:lineRule="exact"/>
                    <w:jc w:val="center"/>
                    <w:rPr>
                      <w:rFonts w:hint="default" w:eastAsia="宋体"/>
                      <w:lang w:val="en-US" w:eastAsia="zh-CN"/>
                    </w:rPr>
                  </w:pPr>
                  <w:r>
                    <w:rPr>
                      <w:rFonts w:hint="eastAsia"/>
                      <w:lang w:val="en-US" w:eastAsia="zh-CN"/>
                    </w:rPr>
                    <w:t>总量</w:t>
                  </w:r>
                </w:p>
              </w:tc>
              <w:tc>
                <w:tcPr>
                  <w:tcW w:w="3668" w:type="dxa"/>
                  <w:tcMar>
                    <w:top w:w="0" w:type="dxa"/>
                    <w:left w:w="0" w:type="dxa"/>
                    <w:bottom w:w="0" w:type="dxa"/>
                    <w:right w:w="0" w:type="dxa"/>
                  </w:tcMar>
                  <w:vAlign w:val="center"/>
                </w:tcPr>
                <w:p>
                  <w:pPr>
                    <w:autoSpaceDE w:val="0"/>
                    <w:autoSpaceDN w:val="0"/>
                    <w:snapToGrid w:val="0"/>
                    <w:spacing w:line="320" w:lineRule="exact"/>
                    <w:jc w:val="left"/>
                    <w:rPr>
                      <w:rFonts w:hint="eastAsia"/>
                    </w:rPr>
                  </w:pPr>
                  <w:r>
                    <w:rPr>
                      <w:rFonts w:hint="eastAsia"/>
                    </w:rPr>
                    <w:t>1、大气污染物</w:t>
                  </w:r>
                </w:p>
                <w:p>
                  <w:pPr>
                    <w:autoSpaceDE w:val="0"/>
                    <w:autoSpaceDN w:val="0"/>
                    <w:snapToGrid w:val="0"/>
                    <w:spacing w:line="320" w:lineRule="exact"/>
                    <w:jc w:val="both"/>
                    <w:rPr>
                      <w:rFonts w:hint="eastAsia"/>
                    </w:rPr>
                  </w:pPr>
                  <w:r>
                    <w:rPr>
                      <w:rFonts w:hint="eastAsia"/>
                    </w:rPr>
                    <w:t>2025年排放量：SO</w:t>
                  </w:r>
                  <w:r>
                    <w:rPr>
                      <w:rFonts w:hint="eastAsia"/>
                      <w:vertAlign w:val="subscript"/>
                    </w:rPr>
                    <w:t>2</w:t>
                  </w:r>
                  <w:r>
                    <w:rPr>
                      <w:rFonts w:hint="eastAsia"/>
                    </w:rPr>
                    <w:t>47.73吨/年、NOx258.70吨/年、颗粒物203.92吨/年、VOCs336.21 吨/年；2035年排放量：SO</w:t>
                  </w:r>
                  <w:r>
                    <w:rPr>
                      <w:rFonts w:hint="eastAsia"/>
                      <w:vertAlign w:val="subscript"/>
                    </w:rPr>
                    <w:t>2</w:t>
                  </w:r>
                  <w:r>
                    <w:rPr>
                      <w:rFonts w:hint="eastAsia"/>
                    </w:rPr>
                    <w:t>50.26 吨/年、NOx272.38</w:t>
                  </w:r>
                </w:p>
                <w:p>
                  <w:pPr>
                    <w:autoSpaceDE w:val="0"/>
                    <w:autoSpaceDN w:val="0"/>
                    <w:snapToGrid w:val="0"/>
                    <w:spacing w:line="320" w:lineRule="exact"/>
                    <w:jc w:val="both"/>
                    <w:rPr>
                      <w:rFonts w:hint="eastAsia"/>
                    </w:rPr>
                  </w:pPr>
                  <w:r>
                    <w:rPr>
                      <w:rFonts w:hint="eastAsia"/>
                    </w:rPr>
                    <w:t>吨/年、颗粒物213.62吨/年、VOCs347.36吨/年。</w:t>
                  </w:r>
                </w:p>
                <w:p>
                  <w:pPr>
                    <w:autoSpaceDE w:val="0"/>
                    <w:autoSpaceDN w:val="0"/>
                    <w:snapToGrid w:val="0"/>
                    <w:spacing w:line="320" w:lineRule="exact"/>
                    <w:jc w:val="both"/>
                    <w:rPr>
                      <w:rFonts w:hint="eastAsia"/>
                    </w:rPr>
                  </w:pPr>
                  <w:r>
                    <w:rPr>
                      <w:rFonts w:hint="eastAsia"/>
                    </w:rPr>
                    <w:t>2、水污染物（外排量）</w:t>
                  </w:r>
                </w:p>
                <w:p>
                  <w:pPr>
                    <w:autoSpaceDE w:val="0"/>
                    <w:autoSpaceDN w:val="0"/>
                    <w:snapToGrid w:val="0"/>
                    <w:spacing w:line="320" w:lineRule="exact"/>
                    <w:jc w:val="both"/>
                    <w:rPr>
                      <w:rFonts w:hint="eastAsia"/>
                    </w:rPr>
                  </w:pPr>
                  <w:r>
                    <w:rPr>
                      <w:rFonts w:hint="eastAsia"/>
                    </w:rPr>
                    <w:t>2025年排放量：废水量1028.12万吨/年、化学需氧量308.44吨/年、氨氮13.6吨/年、总磷2.73 吨/年、总氮102.81吨/年；</w:t>
                  </w:r>
                </w:p>
                <w:p>
                  <w:pPr>
                    <w:autoSpaceDE w:val="0"/>
                    <w:autoSpaceDN w:val="0"/>
                    <w:snapToGrid w:val="0"/>
                    <w:spacing w:line="320" w:lineRule="exact"/>
                    <w:jc w:val="both"/>
                  </w:pPr>
                  <w:r>
                    <w:rPr>
                      <w:rFonts w:hint="eastAsia"/>
                    </w:rPr>
                    <w:t>2035年排放量：废水量1194.81万吨/年、化学需氧量358.44吨/年、氨氮16.06吨/年、总磷3.21 吨/年、总氮119.48吨/年。</w:t>
                  </w:r>
                </w:p>
              </w:tc>
              <w:tc>
                <w:tcPr>
                  <w:tcW w:w="2240" w:type="dxa"/>
                  <w:tcMar>
                    <w:top w:w="0" w:type="dxa"/>
                    <w:left w:w="0" w:type="dxa"/>
                    <w:bottom w:w="0" w:type="dxa"/>
                    <w:right w:w="0" w:type="dxa"/>
                  </w:tcMar>
                  <w:vAlign w:val="center"/>
                </w:tcPr>
                <w:p>
                  <w:pPr>
                    <w:autoSpaceDE w:val="0"/>
                    <w:autoSpaceDN w:val="0"/>
                    <w:snapToGrid w:val="0"/>
                    <w:spacing w:line="320" w:lineRule="exact"/>
                    <w:jc w:val="center"/>
                  </w:pPr>
                  <w:r>
                    <w:rPr>
                      <w:rFonts w:hint="eastAsia"/>
                    </w:rPr>
                    <w:t>本项目已经采取节能减排的方法，实施污染物总量控制，确保开发建设行为不突破生态环境承载力。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23" w:type="dxa"/>
                  <w:vMerge w:val="restart"/>
                  <w:tcMar>
                    <w:top w:w="0" w:type="dxa"/>
                    <w:left w:w="0" w:type="dxa"/>
                    <w:bottom w:w="0" w:type="dxa"/>
                    <w:right w:w="0" w:type="dxa"/>
                  </w:tcMar>
                  <w:vAlign w:val="center"/>
                </w:tcPr>
                <w:p>
                  <w:pPr>
                    <w:autoSpaceDE w:val="0"/>
                    <w:autoSpaceDN w:val="0"/>
                    <w:snapToGrid w:val="0"/>
                    <w:spacing w:line="320" w:lineRule="exact"/>
                    <w:jc w:val="center"/>
                    <w:rPr>
                      <w:rFonts w:hint="eastAsia"/>
                    </w:rPr>
                  </w:pPr>
                  <w:r>
                    <w:rPr>
                      <w:rFonts w:hint="eastAsia"/>
                    </w:rPr>
                    <w:t>环</w:t>
                  </w:r>
                </w:p>
                <w:p>
                  <w:pPr>
                    <w:autoSpaceDE w:val="0"/>
                    <w:autoSpaceDN w:val="0"/>
                    <w:snapToGrid w:val="0"/>
                    <w:spacing w:line="320" w:lineRule="exact"/>
                    <w:jc w:val="center"/>
                    <w:rPr>
                      <w:rFonts w:hint="eastAsia"/>
                    </w:rPr>
                  </w:pPr>
                  <w:r>
                    <w:rPr>
                      <w:rFonts w:hint="eastAsia"/>
                    </w:rPr>
                    <w:t>境</w:t>
                  </w:r>
                </w:p>
                <w:p>
                  <w:pPr>
                    <w:autoSpaceDE w:val="0"/>
                    <w:autoSpaceDN w:val="0"/>
                    <w:snapToGrid w:val="0"/>
                    <w:spacing w:line="320" w:lineRule="exact"/>
                    <w:jc w:val="center"/>
                    <w:rPr>
                      <w:rFonts w:hint="eastAsia"/>
                    </w:rPr>
                  </w:pPr>
                  <w:r>
                    <w:rPr>
                      <w:rFonts w:hint="eastAsia"/>
                    </w:rPr>
                    <w:t>风</w:t>
                  </w:r>
                </w:p>
                <w:p>
                  <w:pPr>
                    <w:autoSpaceDE w:val="0"/>
                    <w:autoSpaceDN w:val="0"/>
                    <w:snapToGrid w:val="0"/>
                    <w:spacing w:line="320" w:lineRule="exact"/>
                    <w:jc w:val="center"/>
                    <w:rPr>
                      <w:rFonts w:hint="eastAsia"/>
                    </w:rPr>
                  </w:pPr>
                  <w:r>
                    <w:rPr>
                      <w:rFonts w:hint="eastAsia"/>
                    </w:rPr>
                    <w:t>险</w:t>
                  </w:r>
                </w:p>
                <w:p>
                  <w:pPr>
                    <w:autoSpaceDE w:val="0"/>
                    <w:autoSpaceDN w:val="0"/>
                    <w:snapToGrid w:val="0"/>
                    <w:spacing w:line="320" w:lineRule="exact"/>
                    <w:jc w:val="center"/>
                    <w:rPr>
                      <w:rFonts w:hint="eastAsia"/>
                    </w:rPr>
                  </w:pPr>
                  <w:r>
                    <w:rPr>
                      <w:rFonts w:hint="eastAsia"/>
                    </w:rPr>
                    <w:t>防</w:t>
                  </w:r>
                </w:p>
                <w:p>
                  <w:pPr>
                    <w:autoSpaceDE w:val="0"/>
                    <w:autoSpaceDN w:val="0"/>
                    <w:snapToGrid w:val="0"/>
                    <w:spacing w:line="320" w:lineRule="exact"/>
                    <w:jc w:val="center"/>
                    <w:rPr>
                      <w:rFonts w:hint="eastAsia"/>
                    </w:rPr>
                  </w:pPr>
                  <w:r>
                    <w:rPr>
                      <w:rFonts w:hint="eastAsia"/>
                    </w:rPr>
                    <w:t>控</w:t>
                  </w:r>
                </w:p>
              </w:tc>
              <w:tc>
                <w:tcPr>
                  <w:tcW w:w="763" w:type="dxa"/>
                  <w:tcMar>
                    <w:top w:w="0" w:type="dxa"/>
                    <w:left w:w="0" w:type="dxa"/>
                    <w:bottom w:w="0" w:type="dxa"/>
                    <w:right w:w="0" w:type="dxa"/>
                  </w:tcMar>
                  <w:vAlign w:val="center"/>
                </w:tcPr>
                <w:p>
                  <w:pPr>
                    <w:autoSpaceDE w:val="0"/>
                    <w:autoSpaceDN w:val="0"/>
                    <w:snapToGrid w:val="0"/>
                    <w:spacing w:line="320" w:lineRule="exact"/>
                    <w:jc w:val="center"/>
                    <w:rPr>
                      <w:rFonts w:hint="eastAsia"/>
                    </w:rPr>
                  </w:pPr>
                  <w:r>
                    <w:rPr>
                      <w:rFonts w:hint="eastAsia"/>
                    </w:rPr>
                    <w:t>企业</w:t>
                  </w:r>
                </w:p>
                <w:p>
                  <w:pPr>
                    <w:autoSpaceDE w:val="0"/>
                    <w:autoSpaceDN w:val="0"/>
                    <w:snapToGrid w:val="0"/>
                    <w:spacing w:line="320" w:lineRule="exact"/>
                    <w:jc w:val="center"/>
                    <w:rPr>
                      <w:rFonts w:hint="eastAsia"/>
                    </w:rPr>
                  </w:pPr>
                  <w:r>
                    <w:rPr>
                      <w:rFonts w:hint="eastAsia"/>
                    </w:rPr>
                    <w:t>环境</w:t>
                  </w:r>
                </w:p>
                <w:p>
                  <w:pPr>
                    <w:autoSpaceDE w:val="0"/>
                    <w:autoSpaceDN w:val="0"/>
                    <w:snapToGrid w:val="0"/>
                    <w:spacing w:line="320" w:lineRule="exact"/>
                    <w:jc w:val="center"/>
                    <w:rPr>
                      <w:rFonts w:hint="eastAsia"/>
                    </w:rPr>
                  </w:pPr>
                  <w:r>
                    <w:rPr>
                      <w:rFonts w:hint="eastAsia"/>
                    </w:rPr>
                    <w:t>风险</w:t>
                  </w:r>
                </w:p>
                <w:p>
                  <w:pPr>
                    <w:autoSpaceDE w:val="0"/>
                    <w:autoSpaceDN w:val="0"/>
                    <w:snapToGrid w:val="0"/>
                    <w:spacing w:line="320" w:lineRule="exact"/>
                    <w:jc w:val="center"/>
                    <w:rPr>
                      <w:rFonts w:hint="eastAsia"/>
                    </w:rPr>
                  </w:pPr>
                  <w:r>
                    <w:rPr>
                      <w:rFonts w:hint="eastAsia"/>
                    </w:rPr>
                    <w:t>防控</w:t>
                  </w:r>
                </w:p>
                <w:p>
                  <w:pPr>
                    <w:autoSpaceDE w:val="0"/>
                    <w:autoSpaceDN w:val="0"/>
                    <w:snapToGrid w:val="0"/>
                    <w:spacing w:line="320" w:lineRule="exact"/>
                    <w:jc w:val="center"/>
                  </w:pPr>
                  <w:r>
                    <w:rPr>
                      <w:rFonts w:hint="eastAsia"/>
                    </w:rPr>
                    <w:t>要求</w:t>
                  </w:r>
                </w:p>
              </w:tc>
              <w:tc>
                <w:tcPr>
                  <w:tcW w:w="3668" w:type="dxa"/>
                  <w:tcMar>
                    <w:top w:w="0" w:type="dxa"/>
                    <w:left w:w="0" w:type="dxa"/>
                    <w:bottom w:w="0" w:type="dxa"/>
                    <w:right w:w="0" w:type="dxa"/>
                  </w:tcMar>
                  <w:vAlign w:val="center"/>
                </w:tcPr>
                <w:p>
                  <w:pPr>
                    <w:autoSpaceDE w:val="0"/>
                    <w:autoSpaceDN w:val="0"/>
                    <w:snapToGrid w:val="0"/>
                    <w:spacing w:line="320" w:lineRule="exact"/>
                    <w:jc w:val="center"/>
                    <w:rPr>
                      <w:rFonts w:hint="eastAsia"/>
                    </w:rPr>
                  </w:pPr>
                  <w:r>
                    <w:rPr>
                      <w:rFonts w:hint="eastAsia"/>
                    </w:rPr>
                    <w:t>1、针对搬迁关闭的土壤污染重点监管企业，由土地使用权人负责开展土壤环境状况调查评估，以保障工业企业场地再开发利用的环境安全；</w:t>
                  </w:r>
                </w:p>
                <w:p>
                  <w:pPr>
                    <w:autoSpaceDE w:val="0"/>
                    <w:autoSpaceDN w:val="0"/>
                    <w:snapToGrid w:val="0"/>
                    <w:spacing w:line="320" w:lineRule="exact"/>
                    <w:jc w:val="center"/>
                  </w:pPr>
                  <w:r>
                    <w:rPr>
                      <w:rFonts w:hint="eastAsia"/>
                    </w:rPr>
                    <w:t>2、产生危险废物及一般固体废物的企事业单位，在贮存、转移、利用固体废物（含危险废物）过程中，应配备防扬散、防流失、防渗漏及其他防止污染环境的措施。</w:t>
                  </w:r>
                </w:p>
              </w:tc>
              <w:tc>
                <w:tcPr>
                  <w:tcW w:w="2240" w:type="dxa"/>
                  <w:tcMar>
                    <w:top w:w="0" w:type="dxa"/>
                    <w:left w:w="0" w:type="dxa"/>
                    <w:bottom w:w="0" w:type="dxa"/>
                    <w:right w:w="0" w:type="dxa"/>
                  </w:tcMar>
                  <w:vAlign w:val="center"/>
                </w:tcPr>
                <w:p>
                  <w:pPr>
                    <w:autoSpaceDE w:val="0"/>
                    <w:autoSpaceDN w:val="0"/>
                    <w:snapToGrid w:val="0"/>
                    <w:spacing w:line="320" w:lineRule="exact"/>
                    <w:jc w:val="center"/>
                  </w:pPr>
                  <w:r>
                    <w:rPr>
                      <w:rFonts w:hint="eastAsia"/>
                    </w:rPr>
                    <w:t>本项目在贮存、转移、利用固体废物（含危险废物）过程中，按要求配备防扬散、防流失、防渗漏及其他防止污染环境的措施。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23" w:type="dxa"/>
                  <w:vMerge w:val="continue"/>
                  <w:tcMar>
                    <w:top w:w="0" w:type="dxa"/>
                    <w:left w:w="0" w:type="dxa"/>
                    <w:bottom w:w="0" w:type="dxa"/>
                    <w:right w:w="0" w:type="dxa"/>
                  </w:tcMar>
                  <w:vAlign w:val="center"/>
                </w:tcPr>
                <w:p>
                  <w:pPr>
                    <w:autoSpaceDE w:val="0"/>
                    <w:autoSpaceDN w:val="0"/>
                    <w:snapToGrid w:val="0"/>
                    <w:spacing w:line="320" w:lineRule="exact"/>
                    <w:jc w:val="center"/>
                    <w:rPr>
                      <w:rFonts w:hint="eastAsia"/>
                    </w:rPr>
                  </w:pPr>
                </w:p>
              </w:tc>
              <w:tc>
                <w:tcPr>
                  <w:tcW w:w="763" w:type="dxa"/>
                  <w:tcMar>
                    <w:top w:w="0" w:type="dxa"/>
                    <w:left w:w="0" w:type="dxa"/>
                    <w:bottom w:w="0" w:type="dxa"/>
                    <w:right w:w="0" w:type="dxa"/>
                  </w:tcMar>
                  <w:vAlign w:val="center"/>
                </w:tcPr>
                <w:p>
                  <w:pPr>
                    <w:autoSpaceDE w:val="0"/>
                    <w:autoSpaceDN w:val="0"/>
                    <w:snapToGrid w:val="0"/>
                    <w:spacing w:line="320" w:lineRule="exact"/>
                    <w:jc w:val="center"/>
                    <w:rPr>
                      <w:rFonts w:hint="eastAsia"/>
                      <w:lang w:val="en-US" w:eastAsia="zh-CN"/>
                    </w:rPr>
                  </w:pPr>
                  <w:r>
                    <w:rPr>
                      <w:rFonts w:hint="eastAsia"/>
                      <w:lang w:val="en-US" w:eastAsia="zh-CN"/>
                    </w:rPr>
                    <w:t>园区</w:t>
                  </w:r>
                </w:p>
                <w:p>
                  <w:pPr>
                    <w:autoSpaceDE w:val="0"/>
                    <w:autoSpaceDN w:val="0"/>
                    <w:snapToGrid w:val="0"/>
                    <w:spacing w:line="320" w:lineRule="exact"/>
                    <w:jc w:val="center"/>
                    <w:rPr>
                      <w:rFonts w:hint="eastAsia"/>
                      <w:lang w:val="en-US" w:eastAsia="zh-CN"/>
                    </w:rPr>
                  </w:pPr>
                  <w:r>
                    <w:rPr>
                      <w:rFonts w:hint="eastAsia"/>
                      <w:lang w:val="en-US" w:eastAsia="zh-CN"/>
                    </w:rPr>
                    <w:t>环境</w:t>
                  </w:r>
                </w:p>
                <w:p>
                  <w:pPr>
                    <w:autoSpaceDE w:val="0"/>
                    <w:autoSpaceDN w:val="0"/>
                    <w:snapToGrid w:val="0"/>
                    <w:spacing w:line="320" w:lineRule="exact"/>
                    <w:jc w:val="center"/>
                    <w:rPr>
                      <w:rFonts w:hint="eastAsia"/>
                      <w:lang w:val="en-US" w:eastAsia="zh-CN"/>
                    </w:rPr>
                  </w:pPr>
                  <w:r>
                    <w:rPr>
                      <w:rFonts w:hint="eastAsia"/>
                      <w:lang w:val="en-US" w:eastAsia="zh-CN"/>
                    </w:rPr>
                    <w:t>风险</w:t>
                  </w:r>
                </w:p>
                <w:p>
                  <w:pPr>
                    <w:autoSpaceDE w:val="0"/>
                    <w:autoSpaceDN w:val="0"/>
                    <w:snapToGrid w:val="0"/>
                    <w:spacing w:line="320" w:lineRule="exact"/>
                    <w:jc w:val="center"/>
                    <w:rPr>
                      <w:rFonts w:hint="eastAsia"/>
                      <w:lang w:val="en-US" w:eastAsia="zh-CN"/>
                    </w:rPr>
                  </w:pPr>
                  <w:r>
                    <w:rPr>
                      <w:rFonts w:hint="eastAsia"/>
                      <w:lang w:val="en-US" w:eastAsia="zh-CN"/>
                    </w:rPr>
                    <w:t>防控</w:t>
                  </w:r>
                </w:p>
                <w:p>
                  <w:pPr>
                    <w:autoSpaceDE w:val="0"/>
                    <w:autoSpaceDN w:val="0"/>
                    <w:snapToGrid w:val="0"/>
                    <w:spacing w:line="320" w:lineRule="exact"/>
                    <w:jc w:val="center"/>
                    <w:rPr>
                      <w:rFonts w:hint="eastAsia"/>
                      <w:lang w:val="en-US" w:eastAsia="zh-CN"/>
                    </w:rPr>
                  </w:pPr>
                  <w:r>
                    <w:rPr>
                      <w:rFonts w:hint="eastAsia"/>
                      <w:lang w:val="en-US" w:eastAsia="zh-CN"/>
                    </w:rPr>
                    <w:t>要求</w:t>
                  </w:r>
                </w:p>
              </w:tc>
              <w:tc>
                <w:tcPr>
                  <w:tcW w:w="3668" w:type="dxa"/>
                  <w:tcMar>
                    <w:top w:w="0" w:type="dxa"/>
                    <w:left w:w="0" w:type="dxa"/>
                    <w:bottom w:w="0" w:type="dxa"/>
                    <w:right w:w="0" w:type="dxa"/>
                  </w:tcMar>
                  <w:vAlign w:val="center"/>
                </w:tcPr>
                <w:p>
                  <w:pPr>
                    <w:autoSpaceDE w:val="0"/>
                    <w:autoSpaceDN w:val="0"/>
                    <w:snapToGrid w:val="0"/>
                    <w:spacing w:line="320" w:lineRule="exact"/>
                    <w:jc w:val="center"/>
                    <w:rPr>
                      <w:rFonts w:hint="eastAsia"/>
                      <w:lang w:val="en-US" w:eastAsia="zh-CN"/>
                    </w:rPr>
                  </w:pPr>
                  <w:r>
                    <w:rPr>
                      <w:rFonts w:hint="eastAsia"/>
                      <w:lang w:val="en-US" w:eastAsia="zh-CN"/>
                    </w:rPr>
                    <w:t>1、按相关文件要求及时更新编制园区突发环境事件应急预案；</w:t>
                  </w:r>
                </w:p>
                <w:p>
                  <w:pPr>
                    <w:autoSpaceDE w:val="0"/>
                    <w:autoSpaceDN w:val="0"/>
                    <w:snapToGrid w:val="0"/>
                    <w:spacing w:line="320" w:lineRule="exact"/>
                    <w:jc w:val="center"/>
                    <w:rPr>
                      <w:rFonts w:hint="eastAsia"/>
                      <w:lang w:val="en-US" w:eastAsia="zh-CN"/>
                    </w:rPr>
                  </w:pPr>
                  <w:r>
                    <w:rPr>
                      <w:rFonts w:hint="eastAsia"/>
                      <w:lang w:val="en-US" w:eastAsia="zh-CN"/>
                    </w:rPr>
                    <w:t>2、建立突发环境事件隐患排查制度及突发环境事件应急管理长效机制，完善环境应急物资储备和应急队伍建设，强化环境应急演练，提升园区环境风险防控水平。</w:t>
                  </w:r>
                </w:p>
              </w:tc>
              <w:tc>
                <w:tcPr>
                  <w:tcW w:w="2240" w:type="dxa"/>
                  <w:tcMar>
                    <w:top w:w="0" w:type="dxa"/>
                    <w:left w:w="0" w:type="dxa"/>
                    <w:bottom w:w="0" w:type="dxa"/>
                    <w:right w:w="0" w:type="dxa"/>
                  </w:tcMar>
                  <w:vAlign w:val="center"/>
                </w:tcPr>
                <w:p>
                  <w:pPr>
                    <w:autoSpaceDE w:val="0"/>
                    <w:autoSpaceDN w:val="0"/>
                    <w:snapToGrid w:val="0"/>
                    <w:spacing w:line="320" w:lineRule="exact"/>
                    <w:jc w:val="center"/>
                    <w:rPr>
                      <w:rFonts w:hint="eastAsia"/>
                      <w:lang w:val="en-US" w:eastAsia="zh-CN"/>
                    </w:rPr>
                  </w:pPr>
                  <w:r>
                    <w:rPr>
                      <w:rFonts w:hint="eastAsia"/>
                      <w:lang w:val="en-US" w:eastAsia="zh-CN"/>
                    </w:rPr>
                    <w:t>项目建成后，建设单位将积极配合实施园区环境风险防控相关要求。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86" w:type="dxa"/>
                  <w:gridSpan w:val="2"/>
                  <w:tcMar>
                    <w:top w:w="0" w:type="dxa"/>
                    <w:left w:w="0" w:type="dxa"/>
                    <w:bottom w:w="0" w:type="dxa"/>
                    <w:right w:w="0" w:type="dxa"/>
                  </w:tcMar>
                  <w:vAlign w:val="center"/>
                </w:tcPr>
                <w:p>
                  <w:pPr>
                    <w:autoSpaceDE w:val="0"/>
                    <w:autoSpaceDN w:val="0"/>
                    <w:snapToGrid w:val="0"/>
                    <w:spacing w:line="320" w:lineRule="exact"/>
                    <w:jc w:val="center"/>
                    <w:rPr>
                      <w:rFonts w:hint="eastAsia"/>
                      <w:lang w:val="en-US" w:eastAsia="zh-CN"/>
                    </w:rPr>
                  </w:pPr>
                  <w:r>
                    <w:rPr>
                      <w:rFonts w:hint="eastAsia"/>
                      <w:lang w:val="en-US" w:eastAsia="zh-CN"/>
                    </w:rPr>
                    <w:t>资源开发</w:t>
                  </w:r>
                </w:p>
                <w:p>
                  <w:pPr>
                    <w:autoSpaceDE w:val="0"/>
                    <w:autoSpaceDN w:val="0"/>
                    <w:snapToGrid w:val="0"/>
                    <w:spacing w:line="320" w:lineRule="exact"/>
                    <w:jc w:val="center"/>
                    <w:rPr>
                      <w:rFonts w:hint="eastAsia"/>
                      <w:lang w:val="en-US" w:eastAsia="zh-CN"/>
                    </w:rPr>
                  </w:pPr>
                  <w:r>
                    <w:rPr>
                      <w:rFonts w:hint="eastAsia"/>
                      <w:lang w:val="en-US" w:eastAsia="zh-CN"/>
                    </w:rPr>
                    <w:t>利用要求</w:t>
                  </w:r>
                </w:p>
              </w:tc>
              <w:tc>
                <w:tcPr>
                  <w:tcW w:w="3668" w:type="dxa"/>
                  <w:tcMar>
                    <w:top w:w="0" w:type="dxa"/>
                    <w:left w:w="0" w:type="dxa"/>
                    <w:bottom w:w="0" w:type="dxa"/>
                    <w:right w:w="0" w:type="dxa"/>
                  </w:tcMar>
                  <w:vAlign w:val="center"/>
                </w:tcPr>
                <w:p>
                  <w:pPr>
                    <w:autoSpaceDE w:val="0"/>
                    <w:autoSpaceDN w:val="0"/>
                    <w:snapToGrid w:val="0"/>
                    <w:spacing w:line="320" w:lineRule="exact"/>
                    <w:jc w:val="center"/>
                    <w:rPr>
                      <w:rFonts w:hint="eastAsia"/>
                      <w:lang w:val="en-US" w:eastAsia="zh-CN"/>
                    </w:rPr>
                  </w:pPr>
                  <w:r>
                    <w:rPr>
                      <w:rFonts w:hint="eastAsia"/>
                      <w:lang w:val="en-US" w:eastAsia="zh-CN"/>
                    </w:rPr>
                    <w:t>1、到2035年，园区单位工业增加值新鲜水耗≤3.0m</w:t>
                  </w:r>
                  <w:r>
                    <w:rPr>
                      <w:rFonts w:hint="eastAsia"/>
                      <w:vertAlign w:val="superscript"/>
                      <w:lang w:val="en-US" w:eastAsia="zh-CN"/>
                    </w:rPr>
                    <w:t>3</w:t>
                  </w:r>
                  <w:r>
                    <w:rPr>
                      <w:rFonts w:hint="eastAsia"/>
                      <w:lang w:val="en-US" w:eastAsia="zh-CN"/>
                    </w:rPr>
                    <w:t>/万元；</w:t>
                  </w:r>
                </w:p>
                <w:p>
                  <w:pPr>
                    <w:autoSpaceDE w:val="0"/>
                    <w:autoSpaceDN w:val="0"/>
                    <w:snapToGrid w:val="0"/>
                    <w:spacing w:line="320" w:lineRule="exact"/>
                    <w:jc w:val="center"/>
                    <w:rPr>
                      <w:rFonts w:hint="eastAsia"/>
                      <w:lang w:val="en-US" w:eastAsia="zh-CN"/>
                    </w:rPr>
                  </w:pPr>
                  <w:r>
                    <w:rPr>
                      <w:rFonts w:hint="eastAsia"/>
                      <w:lang w:val="en-US" w:eastAsia="zh-CN"/>
                    </w:rPr>
                    <w:t>2、到2035年，园区单位工位增加值综合能耗≤0.11吨标煤/万元；</w:t>
                  </w:r>
                </w:p>
                <w:p>
                  <w:pPr>
                    <w:autoSpaceDE w:val="0"/>
                    <w:autoSpaceDN w:val="0"/>
                    <w:snapToGrid w:val="0"/>
                    <w:spacing w:line="320" w:lineRule="exact"/>
                    <w:jc w:val="center"/>
                    <w:rPr>
                      <w:rFonts w:hint="eastAsia"/>
                      <w:lang w:val="en-US" w:eastAsia="zh-CN"/>
                    </w:rPr>
                  </w:pPr>
                  <w:r>
                    <w:rPr>
                      <w:rFonts w:hint="eastAsia"/>
                      <w:lang w:val="en-US" w:eastAsia="zh-CN"/>
                    </w:rPr>
                    <w:t>3、土地资源可利用总面积上限57.67平方公里，建设用地总面积上限52.15平方公里，工业用地总面积上限26.50平方公里。</w:t>
                  </w:r>
                </w:p>
                <w:p>
                  <w:pPr>
                    <w:autoSpaceDE w:val="0"/>
                    <w:autoSpaceDN w:val="0"/>
                    <w:snapToGrid w:val="0"/>
                    <w:spacing w:line="320" w:lineRule="exact"/>
                    <w:jc w:val="center"/>
                    <w:rPr>
                      <w:rFonts w:hint="eastAsia"/>
                      <w:lang w:val="en-US" w:eastAsia="zh-CN"/>
                    </w:rPr>
                  </w:pPr>
                  <w:r>
                    <w:rPr>
                      <w:rFonts w:hint="eastAsia"/>
                      <w:lang w:val="en-US" w:eastAsia="zh-CN"/>
                    </w:rPr>
                    <w:t>4、引进项目的生产工艺、设备，以及单位产品水耗、能耗、污染物排放量和资源利用效率等应达到同行业国际先进水平。</w:t>
                  </w:r>
                </w:p>
              </w:tc>
              <w:tc>
                <w:tcPr>
                  <w:tcW w:w="2240" w:type="dxa"/>
                  <w:tcMar>
                    <w:top w:w="0" w:type="dxa"/>
                    <w:left w:w="0" w:type="dxa"/>
                    <w:bottom w:w="0" w:type="dxa"/>
                    <w:right w:w="0" w:type="dxa"/>
                  </w:tcMar>
                  <w:vAlign w:val="center"/>
                </w:tcPr>
                <w:p>
                  <w:pPr>
                    <w:autoSpaceDE w:val="0"/>
                    <w:autoSpaceDN w:val="0"/>
                    <w:snapToGrid w:val="0"/>
                    <w:spacing w:line="320" w:lineRule="exact"/>
                    <w:jc w:val="center"/>
                    <w:rPr>
                      <w:rFonts w:hint="eastAsia"/>
                      <w:lang w:val="en-US" w:eastAsia="zh-CN"/>
                    </w:rPr>
                  </w:pPr>
                  <w:r>
                    <w:rPr>
                      <w:rFonts w:hint="eastAsia"/>
                      <w:lang w:val="en-US" w:eastAsia="zh-CN"/>
                    </w:rPr>
                    <w:t>本项目使用电能，属于清洁能源；项目用地性质为工业用地，且本项目不新增用地。</w:t>
                  </w:r>
                </w:p>
              </w:tc>
            </w:tr>
          </w:tbl>
          <w:p>
            <w:pPr>
              <w:pStyle w:val="8"/>
              <w:spacing w:before="0" w:after="0" w:line="360" w:lineRule="auto"/>
              <w:ind w:right="0" w:firstLine="420" w:firstLineChars="200"/>
              <w:rPr>
                <w:szCs w:val="21"/>
              </w:rPr>
            </w:pPr>
            <w:r>
              <w:rPr>
                <w:rFonts w:hint="eastAsia" w:ascii="Times New Roman" w:hAnsi="Times New Roman" w:eastAsia="宋体" w:cs="Times New Roman"/>
                <w:kern w:val="2"/>
                <w:sz w:val="21"/>
                <w:szCs w:val="24"/>
                <w:lang w:val="en-US" w:eastAsia="zh-CN" w:bidi="ar-SA"/>
              </w:rPr>
              <w:t>综上所述，本项目与《武进国家高新技术产业开发区发展规划（2022-2035 年）环境影响报告书》的审查意见（苏环审〔2023〕61号）相符。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660" w:type="dxa"/>
            <w:vAlign w:val="center"/>
          </w:tcPr>
          <w:p>
            <w:pPr>
              <w:autoSpaceDE w:val="0"/>
              <w:autoSpaceDN w:val="0"/>
              <w:adjustRightInd w:val="0"/>
              <w:snapToGrid w:val="0"/>
              <w:jc w:val="center"/>
              <w:rPr>
                <w:kern w:val="0"/>
                <w:szCs w:val="21"/>
              </w:rPr>
            </w:pPr>
            <w:r>
              <w:rPr>
                <w:kern w:val="0"/>
                <w:szCs w:val="21"/>
              </w:rPr>
              <w:t>其他符合性分析</w:t>
            </w:r>
          </w:p>
        </w:tc>
        <w:tc>
          <w:tcPr>
            <w:tcW w:w="7210" w:type="dxa"/>
            <w:gridSpan w:val="3"/>
            <w:vAlign w:val="center"/>
          </w:tcPr>
          <w:p>
            <w:pPr>
              <w:autoSpaceDE w:val="0"/>
              <w:autoSpaceDN w:val="0"/>
              <w:adjustRightInd w:val="0"/>
              <w:snapToGrid w:val="0"/>
              <w:spacing w:line="360" w:lineRule="auto"/>
              <w:ind w:firstLine="422" w:firstLineChars="200"/>
              <w:rPr>
                <w:b/>
                <w:bCs/>
                <w:szCs w:val="21"/>
              </w:rPr>
            </w:pPr>
            <w:r>
              <w:rPr>
                <w:rFonts w:hint="eastAsia"/>
                <w:b/>
                <w:bCs/>
                <w:szCs w:val="21"/>
                <w:lang w:val="en-US" w:eastAsia="zh-CN"/>
              </w:rPr>
              <w:t>一</w:t>
            </w:r>
            <w:r>
              <w:rPr>
                <w:b/>
                <w:bCs/>
                <w:szCs w:val="21"/>
              </w:rPr>
              <w:t>、</w:t>
            </w:r>
            <w:r>
              <w:rPr>
                <w:rFonts w:hint="eastAsia"/>
                <w:b/>
                <w:bCs/>
                <w:szCs w:val="21"/>
              </w:rPr>
              <w:t>产业政策相符性分析</w:t>
            </w:r>
          </w:p>
          <w:p>
            <w:pPr>
              <w:pStyle w:val="8"/>
              <w:spacing w:before="0" w:after="0" w:line="360" w:lineRule="auto"/>
              <w:ind w:right="0"/>
              <w:jc w:val="center"/>
              <w:rPr>
                <w:b/>
                <w:bCs/>
                <w:sz w:val="21"/>
                <w:szCs w:val="21"/>
              </w:rPr>
            </w:pPr>
            <w:r>
              <w:rPr>
                <w:rFonts w:hint="eastAsia"/>
                <w:b/>
                <w:bCs/>
                <w:sz w:val="21"/>
                <w:szCs w:val="21"/>
              </w:rPr>
              <w:t>表1-</w:t>
            </w:r>
            <w:r>
              <w:rPr>
                <w:rFonts w:hint="eastAsia"/>
                <w:b/>
                <w:bCs/>
                <w:sz w:val="21"/>
                <w:szCs w:val="21"/>
                <w:lang w:val="en-US" w:eastAsia="zh-CN"/>
              </w:rPr>
              <w:t>3</w:t>
            </w:r>
            <w:r>
              <w:rPr>
                <w:rFonts w:hint="eastAsia"/>
                <w:b/>
                <w:bCs/>
                <w:sz w:val="21"/>
                <w:szCs w:val="21"/>
              </w:rPr>
              <w:t xml:space="preserve"> 本项目产业政策相符性分析</w:t>
            </w:r>
          </w:p>
          <w:tbl>
            <w:tblPr>
              <w:tblStyle w:val="22"/>
              <w:tblW w:w="699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4824"/>
              <w:gridCol w:w="11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PrEx>
              <w:tc>
                <w:tcPr>
                  <w:tcW w:w="1066" w:type="dxa"/>
                  <w:tcBorders>
                    <w:tl2br w:val="nil"/>
                    <w:tr2bl w:val="nil"/>
                  </w:tcBorders>
                  <w:vAlign w:val="center"/>
                </w:tcPr>
                <w:p>
                  <w:pPr>
                    <w:pStyle w:val="8"/>
                    <w:spacing w:before="0" w:after="0" w:line="240" w:lineRule="auto"/>
                    <w:ind w:right="0"/>
                    <w:jc w:val="center"/>
                    <w:rPr>
                      <w:b/>
                      <w:bCs/>
                      <w:sz w:val="21"/>
                      <w:szCs w:val="21"/>
                    </w:rPr>
                  </w:pPr>
                  <w:r>
                    <w:rPr>
                      <w:rFonts w:hint="eastAsia"/>
                      <w:b/>
                      <w:bCs/>
                      <w:sz w:val="21"/>
                      <w:szCs w:val="21"/>
                    </w:rPr>
                    <w:t>判断类型</w:t>
                  </w:r>
                </w:p>
              </w:tc>
              <w:tc>
                <w:tcPr>
                  <w:tcW w:w="4824" w:type="dxa"/>
                  <w:tcBorders>
                    <w:tl2br w:val="nil"/>
                    <w:tr2bl w:val="nil"/>
                  </w:tcBorders>
                  <w:vAlign w:val="center"/>
                </w:tcPr>
                <w:p>
                  <w:pPr>
                    <w:pStyle w:val="8"/>
                    <w:spacing w:before="0" w:after="0" w:line="240" w:lineRule="auto"/>
                    <w:ind w:right="0"/>
                    <w:jc w:val="center"/>
                    <w:rPr>
                      <w:b/>
                      <w:bCs/>
                      <w:sz w:val="21"/>
                      <w:szCs w:val="21"/>
                    </w:rPr>
                  </w:pPr>
                  <w:r>
                    <w:rPr>
                      <w:rFonts w:hint="eastAsia"/>
                      <w:b/>
                      <w:bCs/>
                      <w:sz w:val="21"/>
                      <w:szCs w:val="21"/>
                    </w:rPr>
                    <w:t>对照简析</w:t>
                  </w:r>
                </w:p>
              </w:tc>
              <w:tc>
                <w:tcPr>
                  <w:tcW w:w="1104" w:type="dxa"/>
                  <w:tcBorders>
                    <w:tl2br w:val="nil"/>
                    <w:tr2bl w:val="nil"/>
                  </w:tcBorders>
                  <w:vAlign w:val="center"/>
                </w:tcPr>
                <w:p>
                  <w:pPr>
                    <w:pStyle w:val="8"/>
                    <w:spacing w:before="0" w:after="0" w:line="240" w:lineRule="auto"/>
                    <w:ind w:right="0"/>
                    <w:jc w:val="center"/>
                    <w:rPr>
                      <w:b/>
                      <w:bCs/>
                      <w:sz w:val="21"/>
                      <w:szCs w:val="21"/>
                    </w:rPr>
                  </w:pPr>
                  <w:r>
                    <w:rPr>
                      <w:rFonts w:hint="eastAsia"/>
                      <w:b/>
                      <w:bCs/>
                      <w:sz w:val="21"/>
                      <w:szCs w:val="21"/>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66" w:type="dxa"/>
                  <w:vMerge w:val="restart"/>
                  <w:tcBorders>
                    <w:tl2br w:val="nil"/>
                    <w:tr2bl w:val="nil"/>
                  </w:tcBorders>
                  <w:vAlign w:val="center"/>
                </w:tcPr>
                <w:p>
                  <w:pPr>
                    <w:pStyle w:val="8"/>
                    <w:spacing w:before="0" w:after="0" w:line="240" w:lineRule="auto"/>
                    <w:ind w:right="0"/>
                    <w:jc w:val="center"/>
                    <w:rPr>
                      <w:rFonts w:hint="default" w:eastAsia="宋体"/>
                      <w:sz w:val="21"/>
                      <w:szCs w:val="21"/>
                      <w:lang w:val="en-US" w:eastAsia="zh-CN"/>
                    </w:rPr>
                  </w:pPr>
                  <w:r>
                    <w:rPr>
                      <w:rFonts w:hint="eastAsia"/>
                      <w:sz w:val="21"/>
                      <w:szCs w:val="21"/>
                      <w:lang w:val="en-US" w:eastAsia="zh-CN"/>
                    </w:rPr>
                    <w:t>产业政策</w:t>
                  </w:r>
                </w:p>
              </w:tc>
              <w:tc>
                <w:tcPr>
                  <w:tcW w:w="4824" w:type="dxa"/>
                  <w:tcBorders>
                    <w:tl2br w:val="nil"/>
                    <w:tr2bl w:val="nil"/>
                  </w:tcBorders>
                  <w:vAlign w:val="center"/>
                </w:tcPr>
                <w:p>
                  <w:pPr>
                    <w:pStyle w:val="8"/>
                    <w:spacing w:before="0" w:after="0" w:line="240" w:lineRule="auto"/>
                    <w:ind w:right="0"/>
                    <w:jc w:val="left"/>
                    <w:rPr>
                      <w:sz w:val="21"/>
                      <w:szCs w:val="21"/>
                    </w:rPr>
                  </w:pPr>
                  <w:r>
                    <w:rPr>
                      <w:rFonts w:hint="eastAsia"/>
                      <w:sz w:val="21"/>
                      <w:szCs w:val="21"/>
                    </w:rPr>
                    <w:t>由武进国家高新技术产业开发区管理委员会出具的备案通知书（备案证号：武</w:t>
                  </w:r>
                  <w:r>
                    <w:rPr>
                      <w:rFonts w:hint="eastAsia"/>
                      <w:sz w:val="21"/>
                      <w:szCs w:val="21"/>
                      <w:lang w:val="en-US" w:eastAsia="zh-CN"/>
                    </w:rPr>
                    <w:t>新区委备</w:t>
                  </w:r>
                  <w:r>
                    <w:rPr>
                      <w:rFonts w:hint="eastAsia"/>
                      <w:sz w:val="21"/>
                      <w:szCs w:val="21"/>
                    </w:rPr>
                    <w:t>[202</w:t>
                  </w:r>
                  <w:r>
                    <w:rPr>
                      <w:rFonts w:hint="eastAsia"/>
                      <w:sz w:val="21"/>
                      <w:szCs w:val="21"/>
                      <w:lang w:val="en-US" w:eastAsia="zh-CN"/>
                    </w:rPr>
                    <w:t>4</w:t>
                  </w:r>
                  <w:r>
                    <w:rPr>
                      <w:rFonts w:hint="eastAsia"/>
                      <w:sz w:val="21"/>
                      <w:szCs w:val="21"/>
                    </w:rPr>
                    <w:t>]</w:t>
                  </w:r>
                  <w:r>
                    <w:rPr>
                      <w:rFonts w:hint="eastAsia"/>
                      <w:sz w:val="21"/>
                      <w:szCs w:val="21"/>
                      <w:lang w:val="en-US" w:eastAsia="zh-CN"/>
                    </w:rPr>
                    <w:t>66</w:t>
                  </w:r>
                  <w:r>
                    <w:rPr>
                      <w:rFonts w:hint="eastAsia"/>
                      <w:sz w:val="21"/>
                      <w:szCs w:val="21"/>
                    </w:rPr>
                    <w:t>号，项目代码：</w:t>
                  </w:r>
                  <w:r>
                    <w:rPr>
                      <w:rFonts w:hint="eastAsia"/>
                      <w:sz w:val="21"/>
                      <w:szCs w:val="21"/>
                      <w:lang w:eastAsia="zh-CN"/>
                    </w:rPr>
                    <w:t>2405-320451-04-01-535917</w:t>
                  </w:r>
                  <w:r>
                    <w:rPr>
                      <w:rFonts w:hint="eastAsia"/>
                      <w:sz w:val="21"/>
                      <w:szCs w:val="21"/>
                    </w:rPr>
                    <w:t>）可知，本项目符合《江苏省企业投资项目备案暂行办法》的相关要求，符合国家及地方的产业政策。</w:t>
                  </w:r>
                </w:p>
              </w:tc>
              <w:tc>
                <w:tcPr>
                  <w:tcW w:w="1104" w:type="dxa"/>
                  <w:tcBorders>
                    <w:tl2br w:val="nil"/>
                    <w:tr2bl w:val="nil"/>
                  </w:tcBorders>
                  <w:vAlign w:val="center"/>
                </w:tcPr>
                <w:p>
                  <w:pPr>
                    <w:pStyle w:val="8"/>
                    <w:spacing w:before="0" w:after="0" w:line="240" w:lineRule="auto"/>
                    <w:ind w:right="0"/>
                    <w:jc w:val="center"/>
                    <w:rPr>
                      <w:rFonts w:hint="eastAsia" w:eastAsia="宋体"/>
                      <w:sz w:val="21"/>
                      <w:szCs w:val="21"/>
                      <w:lang w:val="en-US" w:eastAsia="zh-CN"/>
                    </w:rPr>
                  </w:pPr>
                  <w:r>
                    <w:rPr>
                      <w:rFonts w:hint="eastAsia"/>
                      <w:sz w:val="21"/>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66" w:type="dxa"/>
                  <w:vMerge w:val="continue"/>
                  <w:tcBorders>
                    <w:tl2br w:val="nil"/>
                    <w:tr2bl w:val="nil"/>
                  </w:tcBorders>
                  <w:vAlign w:val="center"/>
                </w:tcPr>
                <w:p>
                  <w:pPr>
                    <w:pStyle w:val="8"/>
                    <w:spacing w:before="0" w:after="0" w:line="240" w:lineRule="auto"/>
                    <w:ind w:right="0"/>
                    <w:jc w:val="center"/>
                    <w:rPr>
                      <w:rFonts w:hint="eastAsia"/>
                      <w:sz w:val="21"/>
                      <w:szCs w:val="21"/>
                      <w:lang w:val="en-US" w:eastAsia="zh-CN"/>
                    </w:rPr>
                  </w:pPr>
                </w:p>
              </w:tc>
              <w:tc>
                <w:tcPr>
                  <w:tcW w:w="4824" w:type="dxa"/>
                  <w:tcBorders>
                    <w:tl2br w:val="nil"/>
                    <w:tr2bl w:val="nil"/>
                  </w:tcBorders>
                  <w:vAlign w:val="center"/>
                </w:tcPr>
                <w:p>
                  <w:pPr>
                    <w:pStyle w:val="8"/>
                    <w:spacing w:before="0" w:after="0" w:line="240" w:lineRule="auto"/>
                    <w:ind w:right="0"/>
                    <w:jc w:val="left"/>
                    <w:rPr>
                      <w:sz w:val="21"/>
                      <w:szCs w:val="21"/>
                    </w:rPr>
                  </w:pPr>
                  <w:r>
                    <w:rPr>
                      <w:rFonts w:hint="eastAsia"/>
                      <w:sz w:val="21"/>
                      <w:szCs w:val="21"/>
                    </w:rPr>
                    <w:t>本项目采用的工艺和使用的设备不属于《产业结构调整指导目录（2024年本）》中限制类和淘汰类项目。</w:t>
                  </w:r>
                </w:p>
              </w:tc>
              <w:tc>
                <w:tcPr>
                  <w:tcW w:w="1104" w:type="dxa"/>
                  <w:tcBorders>
                    <w:tl2br w:val="nil"/>
                    <w:tr2bl w:val="nil"/>
                  </w:tcBorders>
                  <w:vAlign w:val="center"/>
                </w:tcPr>
                <w:p>
                  <w:pPr>
                    <w:pStyle w:val="8"/>
                    <w:spacing w:before="0" w:after="0" w:line="240" w:lineRule="auto"/>
                    <w:ind w:right="0"/>
                    <w:jc w:val="center"/>
                    <w:rPr>
                      <w:sz w:val="21"/>
                      <w:szCs w:val="21"/>
                    </w:rPr>
                  </w:pPr>
                  <w:r>
                    <w:rPr>
                      <w:rFonts w:hint="eastAsia"/>
                      <w:sz w:val="21"/>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066" w:type="dxa"/>
                  <w:vMerge w:val="continue"/>
                  <w:tcBorders>
                    <w:tl2br w:val="nil"/>
                    <w:tr2bl w:val="nil"/>
                  </w:tcBorders>
                  <w:vAlign w:val="center"/>
                </w:tcPr>
                <w:p>
                  <w:pPr>
                    <w:pStyle w:val="8"/>
                    <w:spacing w:before="0" w:after="0" w:line="240" w:lineRule="auto"/>
                    <w:ind w:right="0"/>
                    <w:jc w:val="center"/>
                    <w:rPr>
                      <w:rFonts w:hint="eastAsia"/>
                      <w:sz w:val="21"/>
                      <w:szCs w:val="21"/>
                      <w:lang w:val="en-US" w:eastAsia="zh-CN"/>
                    </w:rPr>
                  </w:pPr>
                </w:p>
              </w:tc>
              <w:tc>
                <w:tcPr>
                  <w:tcW w:w="4824" w:type="dxa"/>
                  <w:tcBorders>
                    <w:tl2br w:val="nil"/>
                    <w:tr2bl w:val="nil"/>
                  </w:tcBorders>
                  <w:vAlign w:val="center"/>
                </w:tcPr>
                <w:p>
                  <w:pPr>
                    <w:pStyle w:val="8"/>
                    <w:spacing w:before="0" w:after="0" w:line="240" w:lineRule="auto"/>
                    <w:ind w:right="0"/>
                    <w:jc w:val="left"/>
                    <w:rPr>
                      <w:sz w:val="21"/>
                      <w:szCs w:val="21"/>
                    </w:rPr>
                  </w:pPr>
                  <w:r>
                    <w:rPr>
                      <w:rFonts w:hint="eastAsia"/>
                      <w:sz w:val="21"/>
                      <w:szCs w:val="21"/>
                    </w:rPr>
                    <w:t>本项目不属于《关于发布实施《限制用地项目目录（2012年本）》和《禁止用地项目目录（2012年本）》的通知》中限制用地和禁止用地项目，也不属于《江苏省限制用地项目目录（2013年本）》和《江苏省禁止用地项目目录（2013年本）》中限制用地和禁止用地项目，符合用地规划要求。</w:t>
                  </w:r>
                </w:p>
              </w:tc>
              <w:tc>
                <w:tcPr>
                  <w:tcW w:w="1104" w:type="dxa"/>
                  <w:tcBorders>
                    <w:tl2br w:val="nil"/>
                    <w:tr2bl w:val="nil"/>
                  </w:tcBorders>
                  <w:vAlign w:val="center"/>
                </w:tcPr>
                <w:p>
                  <w:pPr>
                    <w:pStyle w:val="8"/>
                    <w:spacing w:before="0" w:after="0" w:line="240" w:lineRule="auto"/>
                    <w:ind w:right="0"/>
                    <w:jc w:val="center"/>
                    <w:rPr>
                      <w:sz w:val="21"/>
                      <w:szCs w:val="21"/>
                    </w:rPr>
                  </w:pPr>
                  <w:r>
                    <w:rPr>
                      <w:rFonts w:hint="eastAsia"/>
                      <w:sz w:val="21"/>
                      <w:szCs w:val="21"/>
                      <w:lang w:val="en-US" w:eastAsia="zh-CN"/>
                    </w:rPr>
                    <w:t>相符</w:t>
                  </w:r>
                </w:p>
              </w:tc>
            </w:tr>
          </w:tbl>
          <w:p>
            <w:pPr>
              <w:autoSpaceDE w:val="0"/>
              <w:autoSpaceDN w:val="0"/>
              <w:adjustRightInd w:val="0"/>
              <w:snapToGrid w:val="0"/>
              <w:spacing w:line="360" w:lineRule="auto"/>
              <w:ind w:firstLine="420" w:firstLineChars="200"/>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由上表可知，本项目符合国家及地方产业政策。</w:t>
            </w:r>
          </w:p>
          <w:p>
            <w:pPr>
              <w:autoSpaceDE w:val="0"/>
              <w:autoSpaceDN w:val="0"/>
              <w:adjustRightInd w:val="0"/>
              <w:snapToGrid w:val="0"/>
              <w:spacing w:line="360" w:lineRule="auto"/>
              <w:ind w:firstLine="422" w:firstLineChars="200"/>
              <w:rPr>
                <w:b/>
                <w:bCs/>
                <w:szCs w:val="21"/>
              </w:rPr>
            </w:pPr>
            <w:r>
              <w:rPr>
                <w:rFonts w:hint="eastAsia"/>
                <w:b/>
                <w:bCs/>
                <w:szCs w:val="21"/>
                <w:lang w:val="en-US" w:eastAsia="zh-CN"/>
              </w:rPr>
              <w:t>二</w:t>
            </w:r>
            <w:r>
              <w:rPr>
                <w:b/>
                <w:bCs/>
                <w:szCs w:val="21"/>
              </w:rPr>
              <w:t>、与“三线一单”相符性分析</w:t>
            </w:r>
          </w:p>
          <w:p>
            <w:pPr>
              <w:pStyle w:val="8"/>
              <w:spacing w:before="0" w:after="0" w:line="360" w:lineRule="auto"/>
              <w:ind w:right="0" w:firstLine="420" w:firstLineChars="200"/>
              <w:rPr>
                <w:sz w:val="21"/>
                <w:szCs w:val="21"/>
              </w:rPr>
            </w:pPr>
            <w:r>
              <w:rPr>
                <w:rFonts w:hint="eastAsia"/>
                <w:sz w:val="21"/>
                <w:szCs w:val="21"/>
                <w:lang w:val="en-US" w:eastAsia="zh-CN"/>
              </w:rPr>
              <w:t>1、</w:t>
            </w:r>
            <w:r>
              <w:rPr>
                <w:rFonts w:hint="eastAsia"/>
                <w:sz w:val="21"/>
                <w:szCs w:val="21"/>
              </w:rPr>
              <w:t>本项目与“三线一单”控制要求相符性具体见下表。</w:t>
            </w:r>
          </w:p>
          <w:p>
            <w:pPr>
              <w:pStyle w:val="8"/>
              <w:spacing w:before="0" w:after="0" w:line="360" w:lineRule="auto"/>
              <w:ind w:right="0"/>
              <w:jc w:val="center"/>
              <w:rPr>
                <w:b/>
                <w:bCs/>
                <w:sz w:val="21"/>
                <w:szCs w:val="21"/>
              </w:rPr>
            </w:pPr>
            <w:r>
              <w:rPr>
                <w:rFonts w:hint="eastAsia"/>
                <w:b/>
                <w:bCs/>
                <w:sz w:val="21"/>
                <w:szCs w:val="21"/>
              </w:rPr>
              <w:t>表1-</w:t>
            </w:r>
            <w:r>
              <w:rPr>
                <w:rFonts w:hint="eastAsia"/>
                <w:b/>
                <w:bCs/>
                <w:sz w:val="21"/>
                <w:szCs w:val="21"/>
                <w:lang w:val="en-US" w:eastAsia="zh-CN"/>
              </w:rPr>
              <w:t>4</w:t>
            </w:r>
            <w:r>
              <w:rPr>
                <w:rFonts w:hint="eastAsia"/>
                <w:b/>
                <w:bCs/>
                <w:sz w:val="21"/>
                <w:szCs w:val="21"/>
              </w:rPr>
              <w:t xml:space="preserve"> 本项目“三线一单”相符性分析</w:t>
            </w:r>
          </w:p>
          <w:tbl>
            <w:tblPr>
              <w:tblStyle w:val="22"/>
              <w:tblW w:w="699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0"/>
              <w:gridCol w:w="4900"/>
              <w:gridCol w:w="11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90" w:type="dxa"/>
                  <w:tcBorders>
                    <w:tl2br w:val="nil"/>
                    <w:tr2bl w:val="nil"/>
                  </w:tcBorders>
                  <w:vAlign w:val="center"/>
                </w:tcPr>
                <w:p>
                  <w:pPr>
                    <w:pStyle w:val="8"/>
                    <w:spacing w:before="0" w:after="0" w:line="240" w:lineRule="auto"/>
                    <w:ind w:right="0"/>
                    <w:jc w:val="center"/>
                    <w:rPr>
                      <w:sz w:val="21"/>
                      <w:szCs w:val="21"/>
                    </w:rPr>
                  </w:pPr>
                  <w:r>
                    <w:rPr>
                      <w:rFonts w:hint="eastAsia"/>
                      <w:sz w:val="21"/>
                      <w:szCs w:val="21"/>
                    </w:rPr>
                    <w:t>判断</w:t>
                  </w:r>
                </w:p>
                <w:p>
                  <w:pPr>
                    <w:pStyle w:val="8"/>
                    <w:spacing w:before="0" w:after="0" w:line="240" w:lineRule="auto"/>
                    <w:ind w:right="0"/>
                    <w:jc w:val="center"/>
                    <w:rPr>
                      <w:sz w:val="21"/>
                      <w:szCs w:val="21"/>
                    </w:rPr>
                  </w:pPr>
                  <w:r>
                    <w:rPr>
                      <w:rFonts w:hint="eastAsia"/>
                      <w:sz w:val="21"/>
                      <w:szCs w:val="21"/>
                    </w:rPr>
                    <w:t>类型</w:t>
                  </w:r>
                </w:p>
              </w:tc>
              <w:tc>
                <w:tcPr>
                  <w:tcW w:w="4900" w:type="dxa"/>
                  <w:tcBorders>
                    <w:tl2br w:val="nil"/>
                    <w:tr2bl w:val="nil"/>
                  </w:tcBorders>
                  <w:vAlign w:val="center"/>
                </w:tcPr>
                <w:p>
                  <w:pPr>
                    <w:pStyle w:val="8"/>
                    <w:spacing w:before="0" w:after="0" w:line="240" w:lineRule="auto"/>
                    <w:ind w:right="0"/>
                    <w:jc w:val="center"/>
                    <w:rPr>
                      <w:sz w:val="21"/>
                      <w:szCs w:val="21"/>
                    </w:rPr>
                  </w:pPr>
                  <w:r>
                    <w:rPr>
                      <w:rFonts w:hint="eastAsia"/>
                      <w:sz w:val="21"/>
                      <w:szCs w:val="21"/>
                    </w:rPr>
                    <w:t>对照简析</w:t>
                  </w:r>
                </w:p>
              </w:tc>
              <w:tc>
                <w:tcPr>
                  <w:tcW w:w="1104" w:type="dxa"/>
                  <w:tcBorders>
                    <w:tl2br w:val="nil"/>
                    <w:tr2bl w:val="nil"/>
                  </w:tcBorders>
                  <w:vAlign w:val="center"/>
                </w:tcPr>
                <w:p>
                  <w:pPr>
                    <w:pStyle w:val="8"/>
                    <w:spacing w:before="0" w:after="0" w:line="240" w:lineRule="auto"/>
                    <w:ind w:right="0"/>
                    <w:jc w:val="center"/>
                    <w:rPr>
                      <w:sz w:val="21"/>
                      <w:szCs w:val="21"/>
                    </w:rPr>
                  </w:pPr>
                  <w:r>
                    <w:rPr>
                      <w:rFonts w:hint="eastAsia"/>
                      <w:sz w:val="21"/>
                      <w:szCs w:val="21"/>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trPr>
              <w:tc>
                <w:tcPr>
                  <w:tcW w:w="990" w:type="dxa"/>
                  <w:tcBorders>
                    <w:tl2br w:val="nil"/>
                    <w:tr2bl w:val="nil"/>
                  </w:tcBorders>
                  <w:vAlign w:val="center"/>
                </w:tcPr>
                <w:p>
                  <w:pPr>
                    <w:pStyle w:val="8"/>
                    <w:spacing w:before="0" w:after="0" w:line="240" w:lineRule="auto"/>
                    <w:ind w:right="0"/>
                    <w:jc w:val="center"/>
                    <w:rPr>
                      <w:sz w:val="21"/>
                      <w:szCs w:val="21"/>
                    </w:rPr>
                  </w:pPr>
                  <w:r>
                    <w:rPr>
                      <w:rFonts w:hint="eastAsia"/>
                      <w:sz w:val="21"/>
                      <w:szCs w:val="21"/>
                    </w:rPr>
                    <w:t>生态保护红线</w:t>
                  </w:r>
                </w:p>
              </w:tc>
              <w:tc>
                <w:tcPr>
                  <w:tcW w:w="4900" w:type="dxa"/>
                  <w:tcBorders>
                    <w:tl2br w:val="nil"/>
                    <w:tr2bl w:val="nil"/>
                  </w:tcBorders>
                  <w:vAlign w:val="center"/>
                </w:tcPr>
                <w:p>
                  <w:pPr>
                    <w:pStyle w:val="8"/>
                    <w:spacing w:before="0" w:after="0" w:line="240" w:lineRule="auto"/>
                    <w:ind w:right="0"/>
                    <w:jc w:val="left"/>
                    <w:rPr>
                      <w:sz w:val="21"/>
                      <w:szCs w:val="21"/>
                    </w:rPr>
                  </w:pPr>
                  <w:r>
                    <w:rPr>
                      <w:rFonts w:hint="eastAsia"/>
                      <w:sz w:val="21"/>
                      <w:szCs w:val="21"/>
                    </w:rPr>
                    <w:t>对照《江苏省生态空间管控区域规划》（苏政发[2020]1号）、《江苏省国家级生态红线规划》（苏政发[2018]74号），本项目位于江苏省常州市武进国家高新技术产业开发区龙逸路76号，不在《江苏省生态空间管控区域规划》中规定的生态空间保护区域内。离本项目最近的滆湖重要湿地（武进区）直线距离约为8.5km。因此本项目不在文件中所列的国家级生态保护红线范围及生态空间管控区域范围内，符合《江苏省生态空间管控区域规划》（苏政发[2020]1号）</w:t>
                  </w:r>
                  <w:r>
                    <w:rPr>
                      <w:rFonts w:hint="eastAsia"/>
                      <w:sz w:val="21"/>
                      <w:szCs w:val="21"/>
                      <w:lang w:eastAsia="zh-CN"/>
                    </w:rPr>
                    <w:t>、</w:t>
                  </w:r>
                  <w:r>
                    <w:rPr>
                      <w:rFonts w:hint="eastAsia"/>
                      <w:sz w:val="21"/>
                      <w:szCs w:val="21"/>
                    </w:rPr>
                    <w:t>《江苏省国家级生态红线规划》（苏政发[2018]74号）要求。</w:t>
                  </w:r>
                </w:p>
              </w:tc>
              <w:tc>
                <w:tcPr>
                  <w:tcW w:w="1104" w:type="dxa"/>
                  <w:tcBorders>
                    <w:tl2br w:val="nil"/>
                    <w:tr2bl w:val="nil"/>
                  </w:tcBorders>
                  <w:vAlign w:val="center"/>
                </w:tcPr>
                <w:p>
                  <w:pPr>
                    <w:pStyle w:val="8"/>
                    <w:spacing w:before="0" w:after="0" w:line="240" w:lineRule="auto"/>
                    <w:ind w:right="0"/>
                    <w:jc w:val="center"/>
                    <w:rPr>
                      <w:sz w:val="21"/>
                      <w:szCs w:val="21"/>
                    </w:rPr>
                  </w:pPr>
                  <w:r>
                    <w:rPr>
                      <w:rFonts w:hint="eastAsia"/>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90" w:type="dxa"/>
                  <w:tcBorders>
                    <w:tl2br w:val="nil"/>
                    <w:tr2bl w:val="nil"/>
                  </w:tcBorders>
                  <w:vAlign w:val="center"/>
                </w:tcPr>
                <w:p>
                  <w:pPr>
                    <w:pStyle w:val="8"/>
                    <w:spacing w:before="0" w:after="0" w:line="240" w:lineRule="auto"/>
                    <w:ind w:right="0"/>
                    <w:jc w:val="center"/>
                    <w:rPr>
                      <w:sz w:val="21"/>
                      <w:szCs w:val="21"/>
                    </w:rPr>
                  </w:pPr>
                  <w:r>
                    <w:rPr>
                      <w:rFonts w:hint="eastAsia"/>
                      <w:sz w:val="21"/>
                      <w:szCs w:val="21"/>
                    </w:rPr>
                    <w:t>环境质量底线</w:t>
                  </w:r>
                </w:p>
              </w:tc>
              <w:tc>
                <w:tcPr>
                  <w:tcW w:w="4900" w:type="dxa"/>
                  <w:tcBorders>
                    <w:tl2br w:val="nil"/>
                    <w:tr2bl w:val="nil"/>
                  </w:tcBorders>
                  <w:vAlign w:val="center"/>
                </w:tcPr>
                <w:p>
                  <w:pPr>
                    <w:pStyle w:val="8"/>
                    <w:spacing w:before="0" w:after="0" w:line="240" w:lineRule="auto"/>
                    <w:ind w:right="0"/>
                    <w:jc w:val="left"/>
                    <w:rPr>
                      <w:sz w:val="21"/>
                      <w:szCs w:val="21"/>
                    </w:rPr>
                  </w:pPr>
                  <w:r>
                    <w:rPr>
                      <w:rFonts w:hint="eastAsia"/>
                      <w:sz w:val="21"/>
                      <w:szCs w:val="21"/>
                    </w:rPr>
                    <w:t>根据《202</w:t>
                  </w:r>
                  <w:r>
                    <w:rPr>
                      <w:rFonts w:hint="eastAsia"/>
                      <w:sz w:val="21"/>
                      <w:szCs w:val="21"/>
                      <w:lang w:val="en-US" w:eastAsia="zh-CN"/>
                    </w:rPr>
                    <w:t>3</w:t>
                  </w:r>
                  <w:r>
                    <w:rPr>
                      <w:rFonts w:hint="eastAsia"/>
                      <w:sz w:val="21"/>
                      <w:szCs w:val="21"/>
                    </w:rPr>
                    <w:t>年常州市生态环境状况公报》，项目所在地区域属于环境空气质量不达标区，为进一步改善常州市环境空气质量情况，常州市政府制定了相应的空气整治方案和计划，随着整治方案的不断推进，区域空气质量将会得到一定的改善。项目所在区域地表水、声环境质量能够满足相应功能区划要求。本项目产生的污染物经采取相应污染物防治措施后，均能达标排放，对周围环境影响较小，不会改变区域环境现状。</w:t>
                  </w:r>
                </w:p>
              </w:tc>
              <w:tc>
                <w:tcPr>
                  <w:tcW w:w="1104" w:type="dxa"/>
                  <w:tcBorders>
                    <w:tl2br w:val="nil"/>
                    <w:tr2bl w:val="nil"/>
                  </w:tcBorders>
                  <w:vAlign w:val="center"/>
                </w:tcPr>
                <w:p>
                  <w:pPr>
                    <w:pStyle w:val="8"/>
                    <w:spacing w:before="0" w:after="0" w:line="240" w:lineRule="auto"/>
                    <w:ind w:right="0"/>
                    <w:jc w:val="center"/>
                    <w:rPr>
                      <w:sz w:val="21"/>
                      <w:szCs w:val="21"/>
                    </w:rPr>
                  </w:pPr>
                  <w:r>
                    <w:rPr>
                      <w:rFonts w:hint="eastAsia"/>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90" w:type="dxa"/>
                  <w:tcBorders>
                    <w:tl2br w:val="nil"/>
                    <w:tr2bl w:val="nil"/>
                  </w:tcBorders>
                  <w:vAlign w:val="center"/>
                </w:tcPr>
                <w:p>
                  <w:pPr>
                    <w:pStyle w:val="8"/>
                    <w:spacing w:before="0" w:after="0" w:line="240" w:lineRule="auto"/>
                    <w:ind w:right="0"/>
                    <w:jc w:val="center"/>
                    <w:rPr>
                      <w:sz w:val="21"/>
                      <w:szCs w:val="21"/>
                    </w:rPr>
                  </w:pPr>
                  <w:r>
                    <w:rPr>
                      <w:rFonts w:hint="eastAsia"/>
                      <w:sz w:val="21"/>
                      <w:szCs w:val="21"/>
                    </w:rPr>
                    <w:t>资源利用上线</w:t>
                  </w:r>
                </w:p>
              </w:tc>
              <w:tc>
                <w:tcPr>
                  <w:tcW w:w="4900" w:type="dxa"/>
                  <w:tcBorders>
                    <w:tl2br w:val="nil"/>
                    <w:tr2bl w:val="nil"/>
                  </w:tcBorders>
                  <w:vAlign w:val="center"/>
                </w:tcPr>
                <w:p>
                  <w:pPr>
                    <w:pStyle w:val="8"/>
                    <w:spacing w:before="0" w:after="0" w:line="240" w:lineRule="auto"/>
                    <w:ind w:right="0"/>
                    <w:jc w:val="left"/>
                    <w:rPr>
                      <w:rFonts w:hint="eastAsia"/>
                      <w:sz w:val="21"/>
                      <w:szCs w:val="21"/>
                    </w:rPr>
                  </w:pPr>
                  <w:r>
                    <w:rPr>
                      <w:rFonts w:hint="eastAsia"/>
                      <w:sz w:val="21"/>
                      <w:szCs w:val="21"/>
                    </w:rPr>
                    <w:t>本项目不属于“两高一资”类别，生产过程中所使用的能源主要为水、电能，物耗及能耗水平较低。项目位于江苏省常州市武进国家高新技术产业开发区龙逸路76号，所在地工业基础较好；电能依托市政供电，电力丰富，能够满足项目用电需求；对照《武进国家高新技术产业开发区发展规划-园区远期用地规划图（至2035年）》及出租方提供的不动产权证苏（202</w:t>
                  </w:r>
                  <w:r>
                    <w:rPr>
                      <w:rFonts w:hint="eastAsia"/>
                      <w:sz w:val="21"/>
                      <w:szCs w:val="21"/>
                      <w:lang w:val="en-US" w:eastAsia="zh-CN"/>
                    </w:rPr>
                    <w:t>3</w:t>
                  </w:r>
                  <w:r>
                    <w:rPr>
                      <w:rFonts w:hint="eastAsia"/>
                      <w:sz w:val="21"/>
                      <w:szCs w:val="21"/>
                    </w:rPr>
                    <w:t>）</w:t>
                  </w:r>
                  <w:r>
                    <w:rPr>
                      <w:rFonts w:hint="eastAsia"/>
                      <w:sz w:val="21"/>
                      <w:szCs w:val="21"/>
                      <w:lang w:val="en-US" w:eastAsia="zh-CN"/>
                    </w:rPr>
                    <w:t>常州市</w:t>
                  </w:r>
                  <w:r>
                    <w:rPr>
                      <w:rFonts w:hint="eastAsia"/>
                      <w:sz w:val="21"/>
                      <w:szCs w:val="21"/>
                    </w:rPr>
                    <w:t>不动产权第</w:t>
                  </w:r>
                  <w:r>
                    <w:rPr>
                      <w:rFonts w:hint="eastAsia"/>
                      <w:sz w:val="21"/>
                      <w:szCs w:val="21"/>
                      <w:lang w:val="en-US" w:eastAsia="zh-CN"/>
                    </w:rPr>
                    <w:t>0166871</w:t>
                  </w:r>
                  <w:r>
                    <w:rPr>
                      <w:rFonts w:hint="eastAsia"/>
                      <w:sz w:val="21"/>
                      <w:szCs w:val="21"/>
                    </w:rPr>
                    <w:t>号，本项目所在用地为工业用地。因此，本项目符合</w:t>
                  </w:r>
                </w:p>
                <w:p>
                  <w:pPr>
                    <w:pStyle w:val="8"/>
                    <w:spacing w:before="0" w:after="0" w:line="240" w:lineRule="auto"/>
                    <w:ind w:right="0"/>
                    <w:jc w:val="left"/>
                    <w:rPr>
                      <w:sz w:val="21"/>
                      <w:szCs w:val="21"/>
                    </w:rPr>
                  </w:pPr>
                  <w:r>
                    <w:rPr>
                      <w:rFonts w:hint="eastAsia"/>
                      <w:sz w:val="21"/>
                      <w:szCs w:val="21"/>
                    </w:rPr>
                    <w:t>资源利用上线标准。</w:t>
                  </w:r>
                </w:p>
              </w:tc>
              <w:tc>
                <w:tcPr>
                  <w:tcW w:w="1104" w:type="dxa"/>
                  <w:tcBorders>
                    <w:tl2br w:val="nil"/>
                    <w:tr2bl w:val="nil"/>
                  </w:tcBorders>
                  <w:vAlign w:val="center"/>
                </w:tcPr>
                <w:p>
                  <w:pPr>
                    <w:pStyle w:val="8"/>
                    <w:spacing w:before="0" w:after="0" w:line="240" w:lineRule="auto"/>
                    <w:ind w:right="0"/>
                    <w:jc w:val="center"/>
                    <w:rPr>
                      <w:sz w:val="21"/>
                      <w:szCs w:val="21"/>
                    </w:rPr>
                  </w:pPr>
                  <w:r>
                    <w:rPr>
                      <w:rFonts w:hint="eastAsia"/>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90" w:type="dxa"/>
                  <w:tcBorders>
                    <w:tl2br w:val="nil"/>
                    <w:tr2bl w:val="nil"/>
                  </w:tcBorders>
                  <w:vAlign w:val="center"/>
                </w:tcPr>
                <w:p>
                  <w:pPr>
                    <w:pStyle w:val="8"/>
                    <w:spacing w:before="0" w:after="0" w:line="240" w:lineRule="auto"/>
                    <w:ind w:right="0"/>
                    <w:jc w:val="center"/>
                    <w:rPr>
                      <w:sz w:val="21"/>
                      <w:szCs w:val="21"/>
                    </w:rPr>
                  </w:pPr>
                  <w:r>
                    <w:rPr>
                      <w:rFonts w:hint="eastAsia"/>
                      <w:sz w:val="21"/>
                      <w:szCs w:val="21"/>
                    </w:rPr>
                    <w:t>环境准入负面清单</w:t>
                  </w:r>
                </w:p>
              </w:tc>
              <w:tc>
                <w:tcPr>
                  <w:tcW w:w="4900" w:type="dxa"/>
                  <w:tcBorders>
                    <w:tl2br w:val="nil"/>
                    <w:tr2bl w:val="nil"/>
                  </w:tcBorders>
                  <w:vAlign w:val="center"/>
                </w:tcPr>
                <w:p>
                  <w:pPr>
                    <w:pStyle w:val="8"/>
                    <w:spacing w:before="0" w:after="0" w:line="240" w:lineRule="auto"/>
                    <w:ind w:right="0"/>
                    <w:jc w:val="left"/>
                    <w:rPr>
                      <w:rFonts w:hint="eastAsia"/>
                      <w:sz w:val="21"/>
                      <w:szCs w:val="21"/>
                    </w:rPr>
                  </w:pPr>
                  <w:r>
                    <w:rPr>
                      <w:rFonts w:hint="eastAsia"/>
                      <w:sz w:val="21"/>
                      <w:szCs w:val="21"/>
                    </w:rPr>
                    <w:t>①本项目无含氮磷工业废水外排，符合《江苏省太湖水污染防治条例》和《太湖流域管理条例》的相关规定，与太湖流域相关法规及环境政策相容。</w:t>
                  </w:r>
                </w:p>
                <w:p>
                  <w:pPr>
                    <w:pStyle w:val="8"/>
                    <w:spacing w:before="0" w:after="0" w:line="240" w:lineRule="auto"/>
                    <w:ind w:right="0"/>
                    <w:jc w:val="left"/>
                    <w:rPr>
                      <w:rFonts w:hint="eastAsia"/>
                      <w:sz w:val="21"/>
                      <w:szCs w:val="21"/>
                    </w:rPr>
                  </w:pPr>
                  <w:r>
                    <w:rPr>
                      <w:rFonts w:hint="eastAsia"/>
                      <w:sz w:val="21"/>
                      <w:szCs w:val="21"/>
                    </w:rPr>
                    <w:t>②本项目不属于《市场准入负面清单（2022年版）》、《长江经济带发展负面清单指南（试行，2022年版）》中禁止准入类和限</w:t>
                  </w:r>
                  <w:r>
                    <w:rPr>
                      <w:rFonts w:hint="eastAsia"/>
                      <w:sz w:val="21"/>
                      <w:szCs w:val="21"/>
                      <w:lang w:eastAsia="zh-CN"/>
                    </w:rPr>
                    <w:t>制</w:t>
                  </w:r>
                  <w:r>
                    <w:rPr>
                      <w:rFonts w:hint="eastAsia"/>
                      <w:sz w:val="21"/>
                      <w:szCs w:val="21"/>
                    </w:rPr>
                    <w:t>准入类项目。</w:t>
                  </w:r>
                </w:p>
                <w:p>
                  <w:pPr>
                    <w:pStyle w:val="8"/>
                    <w:spacing w:before="0" w:after="0" w:line="240" w:lineRule="auto"/>
                    <w:ind w:right="0"/>
                    <w:jc w:val="left"/>
                    <w:rPr>
                      <w:rFonts w:hint="eastAsia"/>
                      <w:sz w:val="21"/>
                      <w:szCs w:val="21"/>
                    </w:rPr>
                  </w:pPr>
                  <w:r>
                    <w:rPr>
                      <w:rFonts w:hint="eastAsia"/>
                      <w:sz w:val="21"/>
                      <w:szCs w:val="21"/>
                    </w:rPr>
                    <w:t>③本项目产品不属于《环境保护综合目录（2021年版）》中高污染、高风险产品。</w:t>
                  </w:r>
                </w:p>
                <w:p>
                  <w:pPr>
                    <w:pStyle w:val="8"/>
                    <w:spacing w:before="0" w:after="0" w:line="240" w:lineRule="auto"/>
                    <w:ind w:right="0"/>
                    <w:jc w:val="left"/>
                    <w:rPr>
                      <w:sz w:val="21"/>
                      <w:szCs w:val="21"/>
                    </w:rPr>
                  </w:pPr>
                  <w:r>
                    <w:rPr>
                      <w:rFonts w:hint="eastAsia"/>
                      <w:sz w:val="21"/>
                      <w:szCs w:val="21"/>
                    </w:rPr>
                    <w:t>④本项目不属于两高项目符合《遏制“两高”项目盲目发展的通知》。</w:t>
                  </w:r>
                </w:p>
              </w:tc>
              <w:tc>
                <w:tcPr>
                  <w:tcW w:w="1104" w:type="dxa"/>
                  <w:tcBorders>
                    <w:tl2br w:val="nil"/>
                    <w:tr2bl w:val="nil"/>
                  </w:tcBorders>
                  <w:vAlign w:val="center"/>
                </w:tcPr>
                <w:p>
                  <w:pPr>
                    <w:pStyle w:val="8"/>
                    <w:spacing w:before="0" w:after="0" w:line="240" w:lineRule="auto"/>
                    <w:ind w:right="0"/>
                    <w:jc w:val="center"/>
                    <w:rPr>
                      <w:sz w:val="21"/>
                      <w:szCs w:val="21"/>
                    </w:rPr>
                  </w:pPr>
                  <w:r>
                    <w:rPr>
                      <w:rFonts w:hint="eastAsia"/>
                      <w:sz w:val="21"/>
                      <w:szCs w:val="21"/>
                    </w:rPr>
                    <w:t>相符</w:t>
                  </w:r>
                </w:p>
              </w:tc>
            </w:tr>
          </w:tbl>
          <w:p>
            <w:pPr>
              <w:pStyle w:val="8"/>
              <w:spacing w:before="0" w:after="0" w:line="360" w:lineRule="auto"/>
              <w:ind w:right="0" w:firstLine="420" w:firstLineChars="200"/>
              <w:jc w:val="left"/>
              <w:rPr>
                <w:sz w:val="21"/>
                <w:szCs w:val="21"/>
              </w:rPr>
            </w:pPr>
            <w:r>
              <w:rPr>
                <w:rFonts w:hint="eastAsia"/>
                <w:sz w:val="21"/>
                <w:szCs w:val="21"/>
              </w:rPr>
              <w:t>由上表可知，本项目符合“三线一单”（即生态保护红线、环境质量底线、资源利用上线、环境准入负面清单）中相关要求。</w:t>
            </w:r>
          </w:p>
          <w:p>
            <w:pPr>
              <w:pStyle w:val="9"/>
              <w:numPr>
                <w:ilvl w:val="0"/>
                <w:numId w:val="0"/>
              </w:numPr>
              <w:spacing w:line="360" w:lineRule="auto"/>
              <w:ind w:firstLine="422" w:firstLineChars="200"/>
              <w:rPr>
                <w:b/>
                <w:bCs/>
                <w:szCs w:val="21"/>
              </w:rPr>
            </w:pPr>
            <w:r>
              <w:rPr>
                <w:b/>
                <w:bCs/>
                <w:szCs w:val="21"/>
              </w:rPr>
              <w:t>2、</w:t>
            </w:r>
            <w:r>
              <w:rPr>
                <w:rFonts w:hint="eastAsia"/>
                <w:b/>
                <w:bCs/>
                <w:szCs w:val="21"/>
              </w:rPr>
              <w:t>与江苏省“三线一单”生态环境分区管控相符性分析</w:t>
            </w:r>
          </w:p>
          <w:p>
            <w:pPr>
              <w:pStyle w:val="9"/>
              <w:numPr>
                <w:ilvl w:val="0"/>
                <w:numId w:val="0"/>
              </w:numPr>
              <w:spacing w:line="360" w:lineRule="auto"/>
              <w:jc w:val="center"/>
              <w:rPr>
                <w:b/>
                <w:bCs/>
                <w:szCs w:val="21"/>
              </w:rPr>
            </w:pPr>
            <w:r>
              <w:rPr>
                <w:rFonts w:hint="eastAsia"/>
                <w:b/>
                <w:bCs/>
                <w:szCs w:val="21"/>
              </w:rPr>
              <w:t>表1-</w:t>
            </w:r>
            <w:r>
              <w:rPr>
                <w:rFonts w:hint="eastAsia"/>
                <w:b/>
                <w:bCs/>
                <w:szCs w:val="21"/>
                <w:lang w:val="en-US" w:eastAsia="zh-CN"/>
              </w:rPr>
              <w:t>5</w:t>
            </w:r>
            <w:r>
              <w:rPr>
                <w:rFonts w:hint="eastAsia"/>
                <w:b/>
                <w:bCs/>
                <w:szCs w:val="21"/>
              </w:rPr>
              <w:t xml:space="preserve"> 江苏省重点区域（流域）生态环境分区管控相符性分析</w:t>
            </w:r>
          </w:p>
          <w:tbl>
            <w:tblPr>
              <w:tblStyle w:val="22"/>
              <w:tblW w:w="699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500"/>
              <w:gridCol w:w="2012"/>
              <w:gridCol w:w="7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0" w:type="dxa"/>
                  <w:tcBorders>
                    <w:tl2br w:val="nil"/>
                    <w:tr2bl w:val="nil"/>
                  </w:tcBorders>
                  <w:vAlign w:val="center"/>
                </w:tcPr>
                <w:p>
                  <w:pPr>
                    <w:pStyle w:val="9"/>
                    <w:numPr>
                      <w:ilvl w:val="0"/>
                      <w:numId w:val="0"/>
                    </w:numPr>
                    <w:jc w:val="center"/>
                    <w:rPr>
                      <w:szCs w:val="21"/>
                    </w:rPr>
                  </w:pPr>
                  <w:r>
                    <w:rPr>
                      <w:rFonts w:hint="eastAsia"/>
                      <w:szCs w:val="21"/>
                    </w:rPr>
                    <w:t>管控类别</w:t>
                  </w:r>
                </w:p>
              </w:tc>
              <w:tc>
                <w:tcPr>
                  <w:tcW w:w="3500" w:type="dxa"/>
                  <w:tcBorders>
                    <w:tl2br w:val="nil"/>
                    <w:tr2bl w:val="nil"/>
                  </w:tcBorders>
                  <w:vAlign w:val="center"/>
                </w:tcPr>
                <w:p>
                  <w:pPr>
                    <w:pStyle w:val="9"/>
                    <w:numPr>
                      <w:ilvl w:val="0"/>
                      <w:numId w:val="0"/>
                    </w:numPr>
                    <w:jc w:val="center"/>
                    <w:rPr>
                      <w:szCs w:val="21"/>
                    </w:rPr>
                  </w:pPr>
                  <w:r>
                    <w:rPr>
                      <w:rFonts w:hint="eastAsia"/>
                      <w:szCs w:val="21"/>
                    </w:rPr>
                    <w:t>重点管控要求</w:t>
                  </w:r>
                </w:p>
              </w:tc>
              <w:tc>
                <w:tcPr>
                  <w:tcW w:w="2012" w:type="dxa"/>
                  <w:vMerge w:val="restart"/>
                  <w:tcBorders>
                    <w:tl2br w:val="nil"/>
                    <w:tr2bl w:val="nil"/>
                  </w:tcBorders>
                  <w:vAlign w:val="center"/>
                </w:tcPr>
                <w:p>
                  <w:pPr>
                    <w:pStyle w:val="9"/>
                    <w:numPr>
                      <w:ilvl w:val="0"/>
                      <w:numId w:val="0"/>
                    </w:numPr>
                    <w:jc w:val="center"/>
                    <w:rPr>
                      <w:szCs w:val="21"/>
                    </w:rPr>
                  </w:pPr>
                  <w:r>
                    <w:rPr>
                      <w:rFonts w:hint="eastAsia"/>
                      <w:szCs w:val="21"/>
                    </w:rPr>
                    <w:t>本项目情况</w:t>
                  </w:r>
                </w:p>
              </w:tc>
              <w:tc>
                <w:tcPr>
                  <w:tcW w:w="722" w:type="dxa"/>
                  <w:vMerge w:val="restart"/>
                  <w:tcBorders>
                    <w:tl2br w:val="nil"/>
                    <w:tr2bl w:val="nil"/>
                  </w:tcBorders>
                  <w:vAlign w:val="center"/>
                </w:tcPr>
                <w:p>
                  <w:pPr>
                    <w:pStyle w:val="9"/>
                    <w:numPr>
                      <w:ilvl w:val="0"/>
                      <w:numId w:val="0"/>
                    </w:numPr>
                    <w:jc w:val="center"/>
                    <w:rPr>
                      <w:szCs w:val="21"/>
                    </w:rPr>
                  </w:pPr>
                  <w:r>
                    <w:rPr>
                      <w:rFonts w:hint="eastAsia"/>
                      <w:szCs w:val="21"/>
                    </w:rPr>
                    <w:t>是否符合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4260" w:type="dxa"/>
                  <w:gridSpan w:val="2"/>
                  <w:tcBorders>
                    <w:tl2br w:val="nil"/>
                    <w:tr2bl w:val="nil"/>
                  </w:tcBorders>
                  <w:vAlign w:val="center"/>
                </w:tcPr>
                <w:p>
                  <w:pPr>
                    <w:pStyle w:val="9"/>
                    <w:numPr>
                      <w:ilvl w:val="0"/>
                      <w:numId w:val="0"/>
                    </w:numPr>
                    <w:jc w:val="center"/>
                    <w:rPr>
                      <w:szCs w:val="21"/>
                    </w:rPr>
                  </w:pPr>
                  <w:r>
                    <w:rPr>
                      <w:rFonts w:hint="eastAsia"/>
                      <w:szCs w:val="21"/>
                    </w:rPr>
                    <w:t>太湖流域</w:t>
                  </w:r>
                </w:p>
              </w:tc>
              <w:tc>
                <w:tcPr>
                  <w:tcW w:w="2012" w:type="dxa"/>
                  <w:vMerge w:val="continue"/>
                  <w:tcBorders>
                    <w:tl2br w:val="nil"/>
                    <w:tr2bl w:val="nil"/>
                  </w:tcBorders>
                  <w:vAlign w:val="center"/>
                </w:tcPr>
                <w:p>
                  <w:pPr>
                    <w:pStyle w:val="9"/>
                    <w:numPr>
                      <w:ilvl w:val="0"/>
                      <w:numId w:val="0"/>
                    </w:numPr>
                    <w:jc w:val="center"/>
                    <w:rPr>
                      <w:szCs w:val="21"/>
                    </w:rPr>
                  </w:pPr>
                </w:p>
              </w:tc>
              <w:tc>
                <w:tcPr>
                  <w:tcW w:w="722" w:type="dxa"/>
                  <w:vMerge w:val="continue"/>
                  <w:tcBorders>
                    <w:tl2br w:val="nil"/>
                    <w:tr2bl w:val="nil"/>
                  </w:tcBorders>
                  <w:vAlign w:val="center"/>
                </w:tcPr>
                <w:p>
                  <w:pPr>
                    <w:pStyle w:val="9"/>
                    <w:numPr>
                      <w:ilvl w:val="0"/>
                      <w:numId w:val="0"/>
                    </w:num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0" w:type="dxa"/>
                  <w:tcBorders>
                    <w:tl2br w:val="nil"/>
                    <w:tr2bl w:val="nil"/>
                  </w:tcBorders>
                  <w:vAlign w:val="center"/>
                </w:tcPr>
                <w:p>
                  <w:pPr>
                    <w:pStyle w:val="9"/>
                    <w:numPr>
                      <w:ilvl w:val="0"/>
                      <w:numId w:val="0"/>
                    </w:numPr>
                    <w:jc w:val="center"/>
                    <w:rPr>
                      <w:szCs w:val="21"/>
                    </w:rPr>
                  </w:pPr>
                  <w:r>
                    <w:rPr>
                      <w:rFonts w:hint="eastAsia"/>
                      <w:szCs w:val="21"/>
                    </w:rPr>
                    <w:t>空间布局约束</w:t>
                  </w:r>
                </w:p>
              </w:tc>
              <w:tc>
                <w:tcPr>
                  <w:tcW w:w="3500" w:type="dxa"/>
                  <w:tcBorders>
                    <w:tl2br w:val="nil"/>
                    <w:tr2bl w:val="nil"/>
                  </w:tcBorders>
                  <w:vAlign w:val="center"/>
                </w:tcPr>
                <w:p>
                  <w:pPr>
                    <w:pStyle w:val="9"/>
                    <w:numPr>
                      <w:ilvl w:val="0"/>
                      <w:numId w:val="0"/>
                    </w:numPr>
                    <w:jc w:val="left"/>
                    <w:rPr>
                      <w:szCs w:val="21"/>
                    </w:rPr>
                  </w:pPr>
                  <w:r>
                    <w:rPr>
                      <w:rFonts w:hint="eastAsia"/>
                      <w:szCs w:val="21"/>
                    </w:rPr>
                    <w:t>1.在太湖流域一、二、三级保护区，禁止新建、改建、扩建化学制浆、制革、酿造、染料、印染、电镀以及其他排放含磷、氮等污染物的企业和项目，城镇污水集中处理等环境基础设施项目和《江苏省太湖水污染防治条例》第四十六条规定的情形除外。</w:t>
                  </w:r>
                </w:p>
                <w:p>
                  <w:pPr>
                    <w:pStyle w:val="9"/>
                    <w:numPr>
                      <w:ilvl w:val="0"/>
                      <w:numId w:val="0"/>
                    </w:numPr>
                    <w:jc w:val="left"/>
                    <w:rPr>
                      <w:szCs w:val="21"/>
                    </w:rPr>
                  </w:pPr>
                  <w:r>
                    <w:rPr>
                      <w:rFonts w:hint="eastAsia"/>
                      <w:szCs w:val="21"/>
                    </w:rPr>
                    <w:t>2.在太湖流域一级保护区，禁止新建、扩建向水体排放污染物的建设项目，禁止新建、扩建畜禽养殖场，禁止新建、扩建高尔夫球场、水上游乐等开发项目以及设置水上餐饮经营设施。</w:t>
                  </w:r>
                </w:p>
                <w:p>
                  <w:pPr>
                    <w:pStyle w:val="9"/>
                    <w:numPr>
                      <w:ilvl w:val="0"/>
                      <w:numId w:val="0"/>
                    </w:numPr>
                    <w:jc w:val="left"/>
                    <w:rPr>
                      <w:szCs w:val="21"/>
                    </w:rPr>
                  </w:pPr>
                  <w:r>
                    <w:rPr>
                      <w:rFonts w:hint="eastAsia"/>
                      <w:szCs w:val="21"/>
                    </w:rPr>
                    <w:t>3.在太湖流域二级保护区，禁止新建、扩建化工、医药生产项目，禁止新建、扩建污水集中处理设施排污口以外的排污口。</w:t>
                  </w:r>
                </w:p>
              </w:tc>
              <w:tc>
                <w:tcPr>
                  <w:tcW w:w="2012" w:type="dxa"/>
                  <w:tcBorders>
                    <w:tl2br w:val="nil"/>
                    <w:tr2bl w:val="nil"/>
                  </w:tcBorders>
                  <w:vAlign w:val="center"/>
                </w:tcPr>
                <w:p>
                  <w:pPr>
                    <w:pStyle w:val="9"/>
                    <w:numPr>
                      <w:ilvl w:val="0"/>
                      <w:numId w:val="0"/>
                    </w:numPr>
                    <w:jc w:val="left"/>
                    <w:rPr>
                      <w:szCs w:val="21"/>
                    </w:rPr>
                  </w:pPr>
                  <w:r>
                    <w:rPr>
                      <w:rFonts w:hint="eastAsia"/>
                      <w:szCs w:val="21"/>
                    </w:rPr>
                    <w:t>本项目位于太湖流域三级保护区，不属于上述禁止建设的项目。</w:t>
                  </w:r>
                </w:p>
              </w:tc>
              <w:tc>
                <w:tcPr>
                  <w:tcW w:w="722" w:type="dxa"/>
                  <w:tcBorders>
                    <w:tl2br w:val="nil"/>
                    <w:tr2bl w:val="nil"/>
                  </w:tcBorders>
                  <w:vAlign w:val="center"/>
                </w:tcPr>
                <w:p>
                  <w:pPr>
                    <w:pStyle w:val="9"/>
                    <w:numPr>
                      <w:ilvl w:val="0"/>
                      <w:numId w:val="0"/>
                    </w:numPr>
                    <w:jc w:val="center"/>
                    <w:rPr>
                      <w:szCs w:val="21"/>
                    </w:rPr>
                  </w:pPr>
                  <w:r>
                    <w:rPr>
                      <w:rFonts w:hint="eastAsia"/>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0" w:type="dxa"/>
                  <w:tcBorders>
                    <w:tl2br w:val="nil"/>
                    <w:tr2bl w:val="nil"/>
                  </w:tcBorders>
                  <w:vAlign w:val="center"/>
                </w:tcPr>
                <w:p>
                  <w:pPr>
                    <w:pStyle w:val="9"/>
                    <w:numPr>
                      <w:ilvl w:val="0"/>
                      <w:numId w:val="0"/>
                    </w:numPr>
                    <w:jc w:val="center"/>
                    <w:rPr>
                      <w:szCs w:val="21"/>
                    </w:rPr>
                  </w:pPr>
                  <w:r>
                    <w:rPr>
                      <w:rFonts w:hint="eastAsia"/>
                      <w:szCs w:val="21"/>
                    </w:rPr>
                    <w:t>污染物排放管控</w:t>
                  </w:r>
                </w:p>
              </w:tc>
              <w:tc>
                <w:tcPr>
                  <w:tcW w:w="3500" w:type="dxa"/>
                  <w:tcBorders>
                    <w:tl2br w:val="nil"/>
                    <w:tr2bl w:val="nil"/>
                  </w:tcBorders>
                  <w:vAlign w:val="center"/>
                </w:tcPr>
                <w:p>
                  <w:pPr>
                    <w:pStyle w:val="9"/>
                    <w:numPr>
                      <w:ilvl w:val="0"/>
                      <w:numId w:val="0"/>
                    </w:numPr>
                    <w:jc w:val="left"/>
                    <w:rPr>
                      <w:szCs w:val="21"/>
                    </w:rPr>
                  </w:pPr>
                  <w:r>
                    <w:rPr>
                      <w:rFonts w:hint="eastAsia"/>
                      <w:szCs w:val="21"/>
                    </w:rPr>
                    <w:t>城镇污水处理厂、纺织工业、化学工业、造纸工业、钢铁工业、电镀工业和食品工业的污水处理设施执行《太湖地区城镇污水处理厂及重点工业行业主要水污染物排放限值》。</w:t>
                  </w:r>
                </w:p>
              </w:tc>
              <w:tc>
                <w:tcPr>
                  <w:tcW w:w="2012" w:type="dxa"/>
                  <w:tcBorders>
                    <w:tl2br w:val="nil"/>
                    <w:tr2bl w:val="nil"/>
                  </w:tcBorders>
                  <w:vAlign w:val="center"/>
                </w:tcPr>
                <w:p>
                  <w:pPr>
                    <w:pStyle w:val="9"/>
                    <w:numPr>
                      <w:ilvl w:val="0"/>
                      <w:numId w:val="0"/>
                    </w:numPr>
                    <w:jc w:val="left"/>
                    <w:rPr>
                      <w:szCs w:val="21"/>
                    </w:rPr>
                  </w:pPr>
                  <w:r>
                    <w:rPr>
                      <w:rFonts w:hint="eastAsia"/>
                      <w:szCs w:val="21"/>
                      <w:lang w:val="en-US" w:eastAsia="zh-CN"/>
                    </w:rPr>
                    <w:t>本项目属于</w:t>
                  </w:r>
                  <w:r>
                    <w:rPr>
                      <w:rFonts w:hint="eastAsia"/>
                      <w:lang w:eastAsia="zh-CN"/>
                    </w:rPr>
                    <w:t>塑料薄膜制造项目，</w:t>
                  </w:r>
                  <w:r>
                    <w:rPr>
                      <w:rFonts w:hint="eastAsia"/>
                      <w:lang w:val="en-US" w:eastAsia="zh-CN"/>
                    </w:rPr>
                    <w:t>不属于上述行业</w:t>
                  </w:r>
                  <w:r>
                    <w:rPr>
                      <w:rFonts w:hint="eastAsia"/>
                      <w:szCs w:val="21"/>
                    </w:rPr>
                    <w:t>。</w:t>
                  </w:r>
                </w:p>
              </w:tc>
              <w:tc>
                <w:tcPr>
                  <w:tcW w:w="722" w:type="dxa"/>
                  <w:tcBorders>
                    <w:tl2br w:val="nil"/>
                    <w:tr2bl w:val="nil"/>
                  </w:tcBorders>
                  <w:vAlign w:val="center"/>
                </w:tcPr>
                <w:p>
                  <w:pPr>
                    <w:pStyle w:val="9"/>
                    <w:numPr>
                      <w:ilvl w:val="0"/>
                      <w:numId w:val="0"/>
                    </w:numPr>
                    <w:jc w:val="center"/>
                    <w:rPr>
                      <w:szCs w:val="21"/>
                    </w:rPr>
                  </w:pPr>
                  <w:r>
                    <w:rPr>
                      <w:rFonts w:hint="eastAsia"/>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0" w:type="dxa"/>
                  <w:tcBorders>
                    <w:tl2br w:val="nil"/>
                    <w:tr2bl w:val="nil"/>
                  </w:tcBorders>
                  <w:vAlign w:val="center"/>
                </w:tcPr>
                <w:p>
                  <w:pPr>
                    <w:pStyle w:val="9"/>
                    <w:numPr>
                      <w:ilvl w:val="0"/>
                      <w:numId w:val="0"/>
                    </w:numPr>
                    <w:jc w:val="center"/>
                    <w:rPr>
                      <w:szCs w:val="21"/>
                    </w:rPr>
                  </w:pPr>
                  <w:r>
                    <w:rPr>
                      <w:rFonts w:hint="eastAsia"/>
                      <w:szCs w:val="21"/>
                    </w:rPr>
                    <w:t>环境风险物质</w:t>
                  </w:r>
                </w:p>
              </w:tc>
              <w:tc>
                <w:tcPr>
                  <w:tcW w:w="3500" w:type="dxa"/>
                  <w:tcBorders>
                    <w:tl2br w:val="nil"/>
                    <w:tr2bl w:val="nil"/>
                  </w:tcBorders>
                  <w:vAlign w:val="center"/>
                </w:tcPr>
                <w:p>
                  <w:pPr>
                    <w:pStyle w:val="9"/>
                    <w:numPr>
                      <w:ilvl w:val="0"/>
                      <w:numId w:val="0"/>
                    </w:numPr>
                    <w:jc w:val="left"/>
                    <w:rPr>
                      <w:szCs w:val="21"/>
                    </w:rPr>
                  </w:pPr>
                  <w:r>
                    <w:rPr>
                      <w:rFonts w:hint="eastAsia"/>
                      <w:szCs w:val="21"/>
                    </w:rPr>
                    <w:t>1.运输剧毒物质、危险化学品的船舶不得进入太湖。</w:t>
                  </w:r>
                </w:p>
                <w:p>
                  <w:pPr>
                    <w:pStyle w:val="9"/>
                    <w:numPr>
                      <w:ilvl w:val="0"/>
                      <w:numId w:val="0"/>
                    </w:numPr>
                    <w:jc w:val="left"/>
                    <w:rPr>
                      <w:szCs w:val="21"/>
                    </w:rPr>
                  </w:pPr>
                  <w:r>
                    <w:rPr>
                      <w:rFonts w:hint="eastAsia"/>
                      <w:szCs w:val="21"/>
                    </w:rPr>
                    <w:t>2.禁止向太湖流域水体排放或者倾倒油类、酸液、碱液、剧毒废渣废液、含放射性废渣废液、含病原体污水、工业废渣以及其他废弃物。</w:t>
                  </w:r>
                </w:p>
                <w:p>
                  <w:pPr>
                    <w:pStyle w:val="9"/>
                    <w:numPr>
                      <w:ilvl w:val="0"/>
                      <w:numId w:val="0"/>
                    </w:numPr>
                    <w:jc w:val="left"/>
                    <w:rPr>
                      <w:szCs w:val="21"/>
                    </w:rPr>
                  </w:pPr>
                  <w:r>
                    <w:rPr>
                      <w:rFonts w:hint="eastAsia"/>
                      <w:szCs w:val="21"/>
                    </w:rPr>
                    <w:t>3.加强太湖流域生态环境风险应急管控，着力提高防控太湖蓝藻水华风险预警和应急处置能力。</w:t>
                  </w:r>
                </w:p>
              </w:tc>
              <w:tc>
                <w:tcPr>
                  <w:tcW w:w="2012" w:type="dxa"/>
                  <w:tcBorders>
                    <w:tl2br w:val="nil"/>
                    <w:tr2bl w:val="nil"/>
                  </w:tcBorders>
                  <w:vAlign w:val="center"/>
                </w:tcPr>
                <w:p>
                  <w:pPr>
                    <w:pStyle w:val="9"/>
                    <w:numPr>
                      <w:ilvl w:val="0"/>
                      <w:numId w:val="0"/>
                    </w:numPr>
                    <w:jc w:val="left"/>
                    <w:rPr>
                      <w:szCs w:val="21"/>
                    </w:rPr>
                  </w:pPr>
                  <w:r>
                    <w:rPr>
                      <w:rFonts w:hint="eastAsia"/>
                      <w:szCs w:val="21"/>
                    </w:rPr>
                    <w:t>本项目</w:t>
                  </w:r>
                  <w:r>
                    <w:rPr>
                      <w:rFonts w:hint="eastAsia"/>
                      <w:szCs w:val="21"/>
                      <w:lang w:val="en-US" w:eastAsia="zh-CN"/>
                    </w:rPr>
                    <w:t>危废均委托</w:t>
                  </w:r>
                  <w:r>
                    <w:rPr>
                      <w:rFonts w:hint="eastAsia"/>
                      <w:szCs w:val="21"/>
                    </w:rPr>
                    <w:t>，委托有资质单位处置，不向太湖流域水体排放或者倾倒上述所列禁止类污水、废液或废渣。</w:t>
                  </w:r>
                </w:p>
              </w:tc>
              <w:tc>
                <w:tcPr>
                  <w:tcW w:w="722" w:type="dxa"/>
                  <w:tcBorders>
                    <w:tl2br w:val="nil"/>
                    <w:tr2bl w:val="nil"/>
                  </w:tcBorders>
                  <w:vAlign w:val="center"/>
                </w:tcPr>
                <w:p>
                  <w:pPr>
                    <w:pStyle w:val="9"/>
                    <w:numPr>
                      <w:ilvl w:val="0"/>
                      <w:numId w:val="0"/>
                    </w:numPr>
                    <w:jc w:val="center"/>
                    <w:rPr>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60" w:type="dxa"/>
                  <w:tcBorders>
                    <w:tl2br w:val="nil"/>
                    <w:tr2bl w:val="nil"/>
                  </w:tcBorders>
                  <w:vAlign w:val="center"/>
                </w:tcPr>
                <w:p>
                  <w:pPr>
                    <w:pStyle w:val="9"/>
                    <w:numPr>
                      <w:ilvl w:val="0"/>
                      <w:numId w:val="0"/>
                    </w:numPr>
                    <w:jc w:val="center"/>
                    <w:rPr>
                      <w:szCs w:val="21"/>
                    </w:rPr>
                  </w:pPr>
                  <w:r>
                    <w:rPr>
                      <w:rFonts w:hint="eastAsia"/>
                      <w:szCs w:val="21"/>
                    </w:rPr>
                    <w:t>资源利用效率</w:t>
                  </w:r>
                </w:p>
              </w:tc>
              <w:tc>
                <w:tcPr>
                  <w:tcW w:w="3500" w:type="dxa"/>
                  <w:tcBorders>
                    <w:tl2br w:val="nil"/>
                    <w:tr2bl w:val="nil"/>
                  </w:tcBorders>
                  <w:vAlign w:val="center"/>
                </w:tcPr>
                <w:p>
                  <w:pPr>
                    <w:pStyle w:val="9"/>
                    <w:numPr>
                      <w:ilvl w:val="0"/>
                      <w:numId w:val="0"/>
                    </w:numPr>
                    <w:jc w:val="left"/>
                    <w:rPr>
                      <w:szCs w:val="21"/>
                    </w:rPr>
                  </w:pPr>
                  <w:r>
                    <w:rPr>
                      <w:rFonts w:hint="eastAsia"/>
                      <w:szCs w:val="21"/>
                    </w:rPr>
                    <w:t>1.太湖流域加强水资源配置与调度，优先满足居民生活用水，兼顾生产、生态用水以及航运等需要。</w:t>
                  </w:r>
                </w:p>
                <w:p>
                  <w:pPr>
                    <w:pStyle w:val="9"/>
                    <w:numPr>
                      <w:ilvl w:val="0"/>
                      <w:numId w:val="0"/>
                    </w:numPr>
                    <w:jc w:val="left"/>
                    <w:rPr>
                      <w:szCs w:val="21"/>
                    </w:rPr>
                  </w:pPr>
                  <w:r>
                    <w:rPr>
                      <w:rFonts w:hint="eastAsia"/>
                      <w:szCs w:val="21"/>
                    </w:rPr>
                    <w:t>2.2020年底，太湖流域所有省级以上开发区开展园区循环化改造。</w:t>
                  </w:r>
                </w:p>
              </w:tc>
              <w:tc>
                <w:tcPr>
                  <w:tcW w:w="2012" w:type="dxa"/>
                  <w:tcBorders>
                    <w:tl2br w:val="nil"/>
                    <w:tr2bl w:val="nil"/>
                  </w:tcBorders>
                  <w:vAlign w:val="center"/>
                </w:tcPr>
                <w:p>
                  <w:pPr>
                    <w:pStyle w:val="9"/>
                    <w:numPr>
                      <w:ilvl w:val="0"/>
                      <w:numId w:val="0"/>
                    </w:numPr>
                    <w:jc w:val="left"/>
                    <w:rPr>
                      <w:szCs w:val="21"/>
                    </w:rPr>
                  </w:pPr>
                  <w:r>
                    <w:rPr>
                      <w:rFonts w:hint="eastAsia"/>
                      <w:szCs w:val="21"/>
                    </w:rPr>
                    <w:t>本项目主要用水为生活用水，由区域自来水厂统一供应</w:t>
                  </w:r>
                </w:p>
              </w:tc>
              <w:tc>
                <w:tcPr>
                  <w:tcW w:w="722" w:type="dxa"/>
                  <w:tcBorders>
                    <w:tl2br w:val="nil"/>
                    <w:tr2bl w:val="nil"/>
                  </w:tcBorders>
                  <w:vAlign w:val="center"/>
                </w:tcPr>
                <w:p>
                  <w:pPr>
                    <w:pStyle w:val="9"/>
                    <w:numPr>
                      <w:ilvl w:val="0"/>
                      <w:numId w:val="0"/>
                    </w:numPr>
                    <w:jc w:val="center"/>
                    <w:rPr>
                      <w:szCs w:val="21"/>
                    </w:rPr>
                  </w:pPr>
                  <w:r>
                    <w:rPr>
                      <w:rFonts w:hint="eastAsia"/>
                      <w:szCs w:val="21"/>
                    </w:rPr>
                    <w:t>相符</w:t>
                  </w:r>
                </w:p>
              </w:tc>
            </w:tr>
          </w:tbl>
          <w:p>
            <w:pPr>
              <w:pStyle w:val="9"/>
              <w:numPr>
                <w:ilvl w:val="0"/>
                <w:numId w:val="0"/>
              </w:numPr>
              <w:spacing w:line="360" w:lineRule="auto"/>
              <w:ind w:firstLine="422" w:firstLineChars="200"/>
              <w:rPr>
                <w:b/>
                <w:bCs/>
                <w:szCs w:val="21"/>
              </w:rPr>
            </w:pPr>
            <w:r>
              <w:rPr>
                <w:b/>
                <w:bCs/>
                <w:szCs w:val="21"/>
              </w:rPr>
              <w:t>3、</w:t>
            </w:r>
            <w:r>
              <w:rPr>
                <w:rFonts w:hint="eastAsia"/>
                <w:b/>
                <w:bCs/>
                <w:szCs w:val="21"/>
              </w:rPr>
              <w:t>与常州市“三线一单”生态环境分区管控相符性分析</w:t>
            </w:r>
          </w:p>
          <w:p>
            <w:pPr>
              <w:pStyle w:val="9"/>
              <w:numPr>
                <w:ilvl w:val="0"/>
                <w:numId w:val="0"/>
              </w:numPr>
              <w:spacing w:line="360" w:lineRule="auto"/>
              <w:jc w:val="center"/>
              <w:rPr>
                <w:b/>
                <w:bCs/>
                <w:szCs w:val="21"/>
              </w:rPr>
            </w:pPr>
            <w:r>
              <w:rPr>
                <w:rFonts w:hint="eastAsia"/>
                <w:b/>
                <w:bCs/>
                <w:szCs w:val="21"/>
              </w:rPr>
              <w:t>表1-</w:t>
            </w:r>
            <w:r>
              <w:rPr>
                <w:rFonts w:hint="eastAsia"/>
                <w:b/>
                <w:bCs/>
                <w:szCs w:val="21"/>
                <w:lang w:val="en-US" w:eastAsia="zh-CN"/>
              </w:rPr>
              <w:t>6</w:t>
            </w:r>
            <w:r>
              <w:rPr>
                <w:rFonts w:hint="eastAsia"/>
                <w:b/>
                <w:bCs/>
                <w:szCs w:val="21"/>
              </w:rPr>
              <w:t xml:space="preserve"> 常州市“三线一单”生态环境分区管控相符性分析</w:t>
            </w:r>
          </w:p>
          <w:tbl>
            <w:tblPr>
              <w:tblStyle w:val="22"/>
              <w:tblW w:w="699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512"/>
              <w:gridCol w:w="17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l2br w:val="nil"/>
                    <w:tr2bl w:val="nil"/>
                  </w:tcBorders>
                </w:tcPr>
                <w:p>
                  <w:pPr>
                    <w:pStyle w:val="9"/>
                    <w:numPr>
                      <w:ilvl w:val="0"/>
                      <w:numId w:val="0"/>
                    </w:numPr>
                    <w:jc w:val="center"/>
                    <w:rPr>
                      <w:szCs w:val="21"/>
                    </w:rPr>
                  </w:pPr>
                  <w:r>
                    <w:rPr>
                      <w:rFonts w:hint="eastAsia"/>
                      <w:szCs w:val="21"/>
                    </w:rPr>
                    <w:t>管理类别</w:t>
                  </w:r>
                </w:p>
              </w:tc>
              <w:tc>
                <w:tcPr>
                  <w:tcW w:w="4512" w:type="dxa"/>
                  <w:tcBorders>
                    <w:tl2br w:val="nil"/>
                    <w:tr2bl w:val="nil"/>
                  </w:tcBorders>
                  <w:vAlign w:val="center"/>
                </w:tcPr>
                <w:p>
                  <w:pPr>
                    <w:pStyle w:val="9"/>
                    <w:numPr>
                      <w:ilvl w:val="0"/>
                      <w:numId w:val="0"/>
                    </w:numPr>
                    <w:jc w:val="center"/>
                    <w:rPr>
                      <w:szCs w:val="21"/>
                    </w:rPr>
                  </w:pPr>
                  <w:r>
                    <w:rPr>
                      <w:rFonts w:hint="eastAsia"/>
                      <w:szCs w:val="21"/>
                    </w:rPr>
                    <w:t>管理要求</w:t>
                  </w:r>
                </w:p>
              </w:tc>
              <w:tc>
                <w:tcPr>
                  <w:tcW w:w="1767" w:type="dxa"/>
                  <w:tcBorders>
                    <w:tl2br w:val="nil"/>
                    <w:tr2bl w:val="nil"/>
                  </w:tcBorders>
                  <w:vAlign w:val="center"/>
                </w:tcPr>
                <w:p>
                  <w:pPr>
                    <w:pStyle w:val="9"/>
                    <w:numPr>
                      <w:ilvl w:val="0"/>
                      <w:numId w:val="0"/>
                    </w:numPr>
                    <w:jc w:val="center"/>
                    <w:rPr>
                      <w:szCs w:val="21"/>
                    </w:rPr>
                  </w:pPr>
                  <w:r>
                    <w:rPr>
                      <w:rFonts w:hint="eastAsia"/>
                      <w:szCs w:val="21"/>
                    </w:rPr>
                    <w:t>本项目情况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994" w:type="dxa"/>
                  <w:gridSpan w:val="3"/>
                  <w:tcBorders>
                    <w:tl2br w:val="nil"/>
                    <w:tr2bl w:val="nil"/>
                  </w:tcBorders>
                  <w:vAlign w:val="center"/>
                </w:tcPr>
                <w:p>
                  <w:pPr>
                    <w:pStyle w:val="9"/>
                    <w:numPr>
                      <w:ilvl w:val="0"/>
                      <w:numId w:val="0"/>
                    </w:numPr>
                    <w:jc w:val="center"/>
                    <w:rPr>
                      <w:szCs w:val="21"/>
                    </w:rPr>
                  </w:pPr>
                  <w:r>
                    <w:rPr>
                      <w:rFonts w:hint="eastAsia"/>
                      <w:szCs w:val="21"/>
                    </w:rPr>
                    <w:t>常州市市域生态环境管理控制要求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l2br w:val="nil"/>
                    <w:tr2bl w:val="nil"/>
                  </w:tcBorders>
                  <w:vAlign w:val="center"/>
                </w:tcPr>
                <w:p>
                  <w:pPr>
                    <w:pStyle w:val="9"/>
                    <w:numPr>
                      <w:ilvl w:val="0"/>
                      <w:numId w:val="0"/>
                    </w:numPr>
                    <w:jc w:val="center"/>
                    <w:rPr>
                      <w:szCs w:val="21"/>
                    </w:rPr>
                  </w:pPr>
                  <w:r>
                    <w:rPr>
                      <w:rFonts w:hint="eastAsia"/>
                      <w:szCs w:val="21"/>
                    </w:rPr>
                    <w:t>空间布局约束</w:t>
                  </w:r>
                </w:p>
              </w:tc>
              <w:tc>
                <w:tcPr>
                  <w:tcW w:w="4512" w:type="dxa"/>
                  <w:tcBorders>
                    <w:tl2br w:val="nil"/>
                    <w:tr2bl w:val="nil"/>
                  </w:tcBorders>
                  <w:vAlign w:val="center"/>
                </w:tcPr>
                <w:p>
                  <w:pPr>
                    <w:pStyle w:val="9"/>
                    <w:numPr>
                      <w:ilvl w:val="0"/>
                      <w:numId w:val="0"/>
                    </w:numPr>
                    <w:jc w:val="left"/>
                    <w:rPr>
                      <w:szCs w:val="21"/>
                    </w:rPr>
                  </w:pPr>
                  <w:r>
                    <w:rPr>
                      <w:rFonts w:hint="eastAsia"/>
                      <w:szCs w:val="21"/>
                    </w:rPr>
                    <w:t>（1）严格执行《江苏省“三线一单”生态环境分区管控方案》（苏政发〔2020〕49 号）附件 3 江苏省省域生态环境管控要求中“空间布局约束”的相关要求。</w:t>
                  </w:r>
                </w:p>
                <w:p>
                  <w:pPr>
                    <w:pStyle w:val="9"/>
                    <w:numPr>
                      <w:ilvl w:val="0"/>
                      <w:numId w:val="0"/>
                    </w:numPr>
                    <w:jc w:val="left"/>
                    <w:rPr>
                      <w:szCs w:val="21"/>
                    </w:rPr>
                  </w:pPr>
                  <w:r>
                    <w:rPr>
                      <w:rFonts w:hint="eastAsia"/>
                      <w:szCs w:val="21"/>
                    </w:rPr>
                    <w:t>（2）严格执行《关于全面加强生态环境保护坚决打好污染防治攻坚战的实施意见》（常发〔2018〕30 号）、《2020 年常州市打好污染防治攻坚战工作方案》（常政发〔2020〕29 号）、《常州市“两减六治三提升”专项行动实施方案》（常发〔2017〕 9 号）、《常州市打赢蓝天保卫战行动计划实施方案》（常政发〔2019〕27 号）、《常州市水污染防治工作方案》（常政发〔2015〕205 号）、《常州市土壤污染防治工作方案》（常政发〔2017〕56 号）等文件要求。</w:t>
                  </w:r>
                </w:p>
                <w:p>
                  <w:pPr>
                    <w:pStyle w:val="9"/>
                    <w:numPr>
                      <w:ilvl w:val="0"/>
                      <w:numId w:val="0"/>
                    </w:numPr>
                    <w:jc w:val="left"/>
                    <w:rPr>
                      <w:szCs w:val="21"/>
                    </w:rPr>
                  </w:pPr>
                  <w:r>
                    <w:rPr>
                      <w:rFonts w:hint="eastAsia"/>
                      <w:szCs w:val="21"/>
                    </w:rPr>
                    <w:t>（3）禁止引进：列入《产业结构调整指导目录（2019 年本）》、《江苏省产业结构调整限制、淘汰和禁止目录》、《江苏省工业和信息</w:t>
                  </w:r>
                  <w:bookmarkStart w:id="13" w:name="_GoBack"/>
                  <w:r>
                    <w:rPr>
                      <w:rFonts w:hint="eastAsia"/>
                      <w:szCs w:val="21"/>
                    </w:rPr>
                    <w:t>产业结构调整</w:t>
                  </w:r>
                  <w:bookmarkEnd w:id="13"/>
                  <w:r>
                    <w:rPr>
                      <w:rFonts w:hint="eastAsia"/>
                      <w:szCs w:val="21"/>
                    </w:rPr>
                    <w:t>、限制、淘汰目录及能耗限额》淘汰类的产业；列入《外商投资产业指导目录》禁止类的产业。</w:t>
                  </w:r>
                </w:p>
                <w:p>
                  <w:pPr>
                    <w:pStyle w:val="9"/>
                    <w:numPr>
                      <w:ilvl w:val="0"/>
                      <w:numId w:val="0"/>
                    </w:numPr>
                    <w:jc w:val="left"/>
                    <w:rPr>
                      <w:szCs w:val="21"/>
                    </w:rPr>
                  </w:pPr>
                  <w:r>
                    <w:rPr>
                      <w:rFonts w:hint="eastAsia"/>
                      <w:szCs w:val="21"/>
                    </w:rPr>
                    <w:t>（4）根据《常州市长江保护修复攻坚战行动计划工作方案》（常污防攻坚指办〔2019〕30 号），严禁在长江干支流 1 公里范围内新建、扩建化工园区和化工项目。</w:t>
                  </w:r>
                </w:p>
                <w:p>
                  <w:pPr>
                    <w:pStyle w:val="9"/>
                    <w:numPr>
                      <w:ilvl w:val="0"/>
                      <w:numId w:val="0"/>
                    </w:numPr>
                    <w:jc w:val="left"/>
                    <w:rPr>
                      <w:szCs w:val="21"/>
                    </w:rPr>
                  </w:pPr>
                  <w:r>
                    <w:rPr>
                      <w:rFonts w:hint="eastAsia"/>
                      <w:szCs w:val="21"/>
                    </w:rPr>
                    <w:t>（5）根据《常州市城区混凝土、化工、印染企业关闭与搬迁改造计划》（常政办发〔2018〕133 号），2020 年底前，完成城区范围内的混凝土、化工、印染企业关闭与搬迁改造。</w:t>
                  </w:r>
                </w:p>
              </w:tc>
              <w:tc>
                <w:tcPr>
                  <w:tcW w:w="1767" w:type="dxa"/>
                  <w:tcBorders>
                    <w:tl2br w:val="nil"/>
                    <w:tr2bl w:val="nil"/>
                  </w:tcBorders>
                  <w:vAlign w:val="center"/>
                </w:tcPr>
                <w:p>
                  <w:pPr>
                    <w:pStyle w:val="9"/>
                    <w:numPr>
                      <w:ilvl w:val="0"/>
                      <w:numId w:val="0"/>
                    </w:numPr>
                    <w:jc w:val="left"/>
                    <w:rPr>
                      <w:szCs w:val="21"/>
                    </w:rPr>
                  </w:pPr>
                  <w:r>
                    <w:rPr>
                      <w:rFonts w:hint="eastAsia"/>
                      <w:szCs w:val="21"/>
                    </w:rPr>
                    <w:t>本项目符合相关管控要求。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l2br w:val="nil"/>
                    <w:tr2bl w:val="nil"/>
                  </w:tcBorders>
                  <w:vAlign w:val="center"/>
                </w:tcPr>
                <w:p>
                  <w:pPr>
                    <w:pStyle w:val="9"/>
                    <w:numPr>
                      <w:ilvl w:val="0"/>
                      <w:numId w:val="0"/>
                    </w:numPr>
                    <w:jc w:val="center"/>
                    <w:rPr>
                      <w:szCs w:val="21"/>
                    </w:rPr>
                  </w:pPr>
                  <w:r>
                    <w:rPr>
                      <w:rFonts w:hint="eastAsia"/>
                      <w:szCs w:val="21"/>
                    </w:rPr>
                    <w:t>污染物排放管控</w:t>
                  </w:r>
                </w:p>
              </w:tc>
              <w:tc>
                <w:tcPr>
                  <w:tcW w:w="4512" w:type="dxa"/>
                  <w:tcBorders>
                    <w:tl2br w:val="nil"/>
                    <w:tr2bl w:val="nil"/>
                  </w:tcBorders>
                  <w:vAlign w:val="center"/>
                </w:tcPr>
                <w:p>
                  <w:pPr>
                    <w:pStyle w:val="9"/>
                    <w:numPr>
                      <w:ilvl w:val="0"/>
                      <w:numId w:val="0"/>
                    </w:numPr>
                    <w:jc w:val="left"/>
                    <w:rPr>
                      <w:szCs w:val="21"/>
                    </w:rPr>
                  </w:pPr>
                  <w:r>
                    <w:rPr>
                      <w:rFonts w:hint="eastAsia"/>
                      <w:szCs w:val="21"/>
                    </w:rPr>
                    <w:t>（1）坚持生态环境质量只能更好、不能变坏，实施污染物总量控制，以环境容量定产业、定项目、定规模，确保开发建设本项目已经采取节能减排的方法，实为不突破生态环境承载力。</w:t>
                  </w:r>
                </w:p>
                <w:p>
                  <w:pPr>
                    <w:pStyle w:val="9"/>
                    <w:numPr>
                      <w:ilvl w:val="0"/>
                      <w:numId w:val="0"/>
                    </w:numPr>
                    <w:jc w:val="left"/>
                    <w:rPr>
                      <w:szCs w:val="21"/>
                    </w:rPr>
                  </w:pPr>
                  <w:r>
                    <w:rPr>
                      <w:rFonts w:hint="eastAsia"/>
                      <w:szCs w:val="21"/>
                    </w:rPr>
                    <w:t>（2）根据《江苏省“十三五”节能减排综合实施方案》（苏政发〔2017〕69号），2020年常州市化学需氧量、氨氮、总氮、总磷、二氧化硫、氮氧化物、挥发性有机物排放量不得超过2.84万吨/年、0.42万吨/年、1万吨/年、0.08万吨/年、2.76万吨/年、6.14万吨/年、8.98万吨/年。</w:t>
                  </w:r>
                </w:p>
              </w:tc>
              <w:tc>
                <w:tcPr>
                  <w:tcW w:w="1767" w:type="dxa"/>
                  <w:tcBorders>
                    <w:tl2br w:val="nil"/>
                    <w:tr2bl w:val="nil"/>
                  </w:tcBorders>
                  <w:vAlign w:val="center"/>
                </w:tcPr>
                <w:p>
                  <w:pPr>
                    <w:pStyle w:val="9"/>
                    <w:numPr>
                      <w:ilvl w:val="0"/>
                      <w:numId w:val="0"/>
                    </w:numPr>
                    <w:jc w:val="left"/>
                    <w:rPr>
                      <w:szCs w:val="21"/>
                    </w:rPr>
                  </w:pPr>
                  <w:r>
                    <w:rPr>
                      <w:rFonts w:hint="eastAsia"/>
                      <w:szCs w:val="21"/>
                    </w:rPr>
                    <w:t>本项目已经采取节能减排的方法，实施污染物总量控制，确保开发建设行为不突破生态环境承载力。</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47" w:hRule="atLeast"/>
              </w:trPr>
              <w:tc>
                <w:tcPr>
                  <w:tcW w:w="715" w:type="dxa"/>
                  <w:tcBorders>
                    <w:tl2br w:val="nil"/>
                    <w:tr2bl w:val="nil"/>
                  </w:tcBorders>
                  <w:vAlign w:val="center"/>
                </w:tcPr>
                <w:p>
                  <w:pPr>
                    <w:pStyle w:val="9"/>
                    <w:numPr>
                      <w:ilvl w:val="0"/>
                      <w:numId w:val="0"/>
                    </w:numPr>
                    <w:jc w:val="center"/>
                    <w:rPr>
                      <w:szCs w:val="21"/>
                    </w:rPr>
                  </w:pPr>
                  <w:r>
                    <w:rPr>
                      <w:rFonts w:hint="eastAsia"/>
                      <w:szCs w:val="21"/>
                    </w:rPr>
                    <w:t>环境风险管控</w:t>
                  </w:r>
                </w:p>
              </w:tc>
              <w:tc>
                <w:tcPr>
                  <w:tcW w:w="4512" w:type="dxa"/>
                  <w:tcBorders>
                    <w:tl2br w:val="nil"/>
                    <w:tr2bl w:val="nil"/>
                  </w:tcBorders>
                  <w:vAlign w:val="center"/>
                </w:tcPr>
                <w:p>
                  <w:pPr>
                    <w:pStyle w:val="9"/>
                    <w:numPr>
                      <w:ilvl w:val="0"/>
                      <w:numId w:val="0"/>
                    </w:numPr>
                    <w:jc w:val="left"/>
                    <w:rPr>
                      <w:szCs w:val="21"/>
                    </w:rPr>
                  </w:pPr>
                  <w:r>
                    <w:rPr>
                      <w:rFonts w:hint="eastAsia"/>
                      <w:szCs w:val="21"/>
                    </w:rPr>
                    <w:t>（1）严格执行《江苏省“三线一单”生态环境分区管控方案》（苏政发〔2020〕49号）附件3江苏省省域生态环境管控要求中“环境风险防控”的相关要求。</w:t>
                  </w:r>
                </w:p>
                <w:p>
                  <w:pPr>
                    <w:pStyle w:val="9"/>
                    <w:numPr>
                      <w:ilvl w:val="0"/>
                      <w:numId w:val="0"/>
                    </w:numPr>
                    <w:jc w:val="left"/>
                    <w:rPr>
                      <w:szCs w:val="21"/>
                    </w:rPr>
                  </w:pPr>
                  <w:r>
                    <w:rPr>
                      <w:rFonts w:hint="eastAsia"/>
                      <w:szCs w:val="21"/>
                    </w:rPr>
                    <w:t>（2）根据《常州市长江生态优先绿色发展三年行动计划（2019-2021年）》（常长江发〔2019〕3号），大幅压减沿江地区化工生产企业数量，沿江1公里范围内凡是与化工园区无产业链关联、安全和环保隐患大的企业2020年底前依法关停退出。</w:t>
                  </w:r>
                </w:p>
                <w:p>
                  <w:pPr>
                    <w:pStyle w:val="9"/>
                    <w:numPr>
                      <w:ilvl w:val="0"/>
                      <w:numId w:val="0"/>
                    </w:numPr>
                    <w:jc w:val="left"/>
                    <w:rPr>
                      <w:szCs w:val="21"/>
                    </w:rPr>
                  </w:pPr>
                  <w:r>
                    <w:rPr>
                      <w:rFonts w:hint="eastAsia"/>
                      <w:szCs w:val="21"/>
                    </w:rPr>
                    <w:t>（3）强化饮用水水源环境风险管控，建成应急水源工程。</w:t>
                  </w:r>
                </w:p>
                <w:p>
                  <w:pPr>
                    <w:pStyle w:val="9"/>
                    <w:numPr>
                      <w:ilvl w:val="0"/>
                      <w:numId w:val="0"/>
                    </w:numPr>
                    <w:jc w:val="left"/>
                    <w:rPr>
                      <w:szCs w:val="21"/>
                    </w:rPr>
                  </w:pPr>
                  <w:r>
                    <w:rPr>
                      <w:rFonts w:hint="eastAsia"/>
                      <w:szCs w:val="21"/>
                    </w:rPr>
                    <w:t>（4）完善废弃危险化学品等危险废物（以下简称“危险废物”）、重点环保设施和项目、涉爆粉尘企业等分级管控和隐患排查治理的责任体系、制度标准、工作机制；重点加强化学工业园区、涉及大宗危化品使用企业、贮存和运输危化品的港口码头、尾矿库、集中式污水处理厂、危废处理企业的环境风险防控；建立覆盖危险废物产生、收集、贮存、转移、运输、利用、处置等全过程的监督体系，严厉打击危险废物非法转移、处置和倾倒行为。</w:t>
                  </w:r>
                </w:p>
              </w:tc>
              <w:tc>
                <w:tcPr>
                  <w:tcW w:w="1767" w:type="dxa"/>
                  <w:tcBorders>
                    <w:tl2br w:val="nil"/>
                    <w:tr2bl w:val="nil"/>
                  </w:tcBorders>
                  <w:vAlign w:val="center"/>
                </w:tcPr>
                <w:p>
                  <w:pPr>
                    <w:pStyle w:val="9"/>
                    <w:numPr>
                      <w:ilvl w:val="0"/>
                      <w:numId w:val="0"/>
                    </w:numPr>
                    <w:jc w:val="left"/>
                    <w:rPr>
                      <w:szCs w:val="21"/>
                    </w:rPr>
                  </w:pPr>
                  <w:r>
                    <w:rPr>
                      <w:rFonts w:hint="eastAsia"/>
                      <w:szCs w:val="21"/>
                    </w:rPr>
                    <w:t>1、本项目满足《江苏省“三线一单”生态环境分区管控方案》（苏政发</w:t>
                  </w:r>
                </w:p>
                <w:p>
                  <w:pPr>
                    <w:pStyle w:val="9"/>
                    <w:numPr>
                      <w:ilvl w:val="0"/>
                      <w:numId w:val="0"/>
                    </w:numPr>
                    <w:jc w:val="left"/>
                    <w:rPr>
                      <w:szCs w:val="21"/>
                    </w:rPr>
                  </w:pPr>
                  <w:r>
                    <w:rPr>
                      <w:rFonts w:hint="eastAsia"/>
                      <w:szCs w:val="21"/>
                    </w:rPr>
                    <w:t>[2020]49号）附件3江苏省省域生态环境管控</w:t>
                  </w:r>
                </w:p>
                <w:p>
                  <w:pPr>
                    <w:pStyle w:val="9"/>
                    <w:numPr>
                      <w:ilvl w:val="0"/>
                      <w:numId w:val="0"/>
                    </w:numPr>
                    <w:jc w:val="left"/>
                    <w:rPr>
                      <w:szCs w:val="21"/>
                    </w:rPr>
                  </w:pPr>
                  <w:r>
                    <w:rPr>
                      <w:rFonts w:hint="eastAsia"/>
                      <w:szCs w:val="21"/>
                    </w:rPr>
                    <w:t>要求中“环境风险防控”的相关要求；</w:t>
                  </w:r>
                </w:p>
                <w:p>
                  <w:pPr>
                    <w:pStyle w:val="9"/>
                    <w:numPr>
                      <w:ilvl w:val="0"/>
                      <w:numId w:val="0"/>
                    </w:numPr>
                    <w:jc w:val="left"/>
                    <w:rPr>
                      <w:szCs w:val="21"/>
                    </w:rPr>
                  </w:pPr>
                  <w:r>
                    <w:rPr>
                      <w:rFonts w:hint="eastAsia"/>
                      <w:szCs w:val="21"/>
                    </w:rPr>
                    <w:t>2、本项目位于</w:t>
                  </w:r>
                </w:p>
                <w:p>
                  <w:pPr>
                    <w:pStyle w:val="9"/>
                    <w:numPr>
                      <w:ilvl w:val="0"/>
                      <w:numId w:val="0"/>
                    </w:numPr>
                    <w:jc w:val="left"/>
                    <w:rPr>
                      <w:szCs w:val="21"/>
                    </w:rPr>
                  </w:pPr>
                  <w:r>
                    <w:rPr>
                      <w:rFonts w:hint="eastAsia"/>
                      <w:szCs w:val="21"/>
                    </w:rPr>
                    <w:t>江苏省常州市武进国家高新技术产业开发区龙逸路76号，不在长江沿江1公里范围内；</w:t>
                  </w:r>
                </w:p>
                <w:p>
                  <w:pPr>
                    <w:pStyle w:val="9"/>
                    <w:numPr>
                      <w:ilvl w:val="0"/>
                      <w:numId w:val="0"/>
                    </w:numPr>
                    <w:jc w:val="left"/>
                    <w:rPr>
                      <w:szCs w:val="21"/>
                    </w:rPr>
                  </w:pPr>
                  <w:r>
                    <w:rPr>
                      <w:rFonts w:hint="eastAsia"/>
                      <w:szCs w:val="21"/>
                    </w:rPr>
                    <w:t>3、本项目产生的危废均委托资质单位处置，固废处理处置率100%。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l2br w:val="nil"/>
                    <w:tr2bl w:val="nil"/>
                  </w:tcBorders>
                  <w:vAlign w:val="center"/>
                </w:tcPr>
                <w:p>
                  <w:pPr>
                    <w:pStyle w:val="9"/>
                    <w:numPr>
                      <w:ilvl w:val="0"/>
                      <w:numId w:val="0"/>
                    </w:numPr>
                    <w:jc w:val="center"/>
                    <w:rPr>
                      <w:szCs w:val="21"/>
                    </w:rPr>
                  </w:pPr>
                  <w:r>
                    <w:rPr>
                      <w:rFonts w:hint="eastAsia"/>
                      <w:szCs w:val="21"/>
                    </w:rPr>
                    <w:t>资源开发效率要求</w:t>
                  </w:r>
                </w:p>
              </w:tc>
              <w:tc>
                <w:tcPr>
                  <w:tcW w:w="4512" w:type="dxa"/>
                  <w:tcBorders>
                    <w:tl2br w:val="nil"/>
                    <w:tr2bl w:val="nil"/>
                  </w:tcBorders>
                  <w:vAlign w:val="center"/>
                </w:tcPr>
                <w:p>
                  <w:pPr>
                    <w:pStyle w:val="9"/>
                    <w:numPr>
                      <w:ilvl w:val="0"/>
                      <w:numId w:val="0"/>
                    </w:numPr>
                    <w:jc w:val="left"/>
                    <w:rPr>
                      <w:szCs w:val="21"/>
                    </w:rPr>
                  </w:pPr>
                  <w:r>
                    <w:rPr>
                      <w:rFonts w:hint="eastAsia"/>
                      <w:szCs w:val="21"/>
                    </w:rPr>
                    <w:t>（1）根据《常州市节水型社会建设规划（修编）》（常政办发〔2017〕136号），2020年常州市用水总量不得超过29.01亿立方米，万元单位地区生产总值用水量降至33.8立方米以下，万元单位工业增加值用水量降至8立方米以下，农田灌溉水利用系数达到0.68。</w:t>
                  </w:r>
                </w:p>
                <w:p>
                  <w:pPr>
                    <w:pStyle w:val="9"/>
                    <w:numPr>
                      <w:ilvl w:val="0"/>
                      <w:numId w:val="0"/>
                    </w:numPr>
                    <w:jc w:val="left"/>
                    <w:rPr>
                      <w:szCs w:val="21"/>
                    </w:rPr>
                  </w:pPr>
                  <w:r>
                    <w:rPr>
                      <w:rFonts w:hint="eastAsia"/>
                      <w:szCs w:val="21"/>
                    </w:rPr>
                    <w:t>（2）根据《常州市土地利用总体规划（2006～2020年）调整方案》（苏国土资函〔2017〕610号），2020年常州市耕地保有量不得低于15.41万公顷，基本农田保护面积不低于12.71万公顷，开发强度不得高于28.05%。</w:t>
                  </w:r>
                </w:p>
                <w:p>
                  <w:pPr>
                    <w:pStyle w:val="9"/>
                    <w:numPr>
                      <w:ilvl w:val="0"/>
                      <w:numId w:val="0"/>
                    </w:numPr>
                    <w:jc w:val="left"/>
                    <w:rPr>
                      <w:szCs w:val="21"/>
                    </w:rPr>
                  </w:pPr>
                  <w:r>
                    <w:rPr>
                      <w:rFonts w:hint="eastAsia"/>
                      <w:szCs w:val="21"/>
                    </w:rPr>
                    <w:t>（3）根据《市政府关于公布常州市高污染燃料禁燃区类别的通告》（常政发〔2017〕163号）、《市政府关于公布溧阳市高污染燃料禁燃区控制类别的通告》（溧政发〔2018〕6号），常州市禁燃区内禁止新建、扩建燃用高污染燃料的项目和设施，已建成的应逐步或依法限期改用天然气、电或者其他清洁能源。禁止燃用的燃料主要包括：①“II类”（较严），具体包括：除单台出力大于等于20蒸吨/小时锅炉以外燃用的煤炭及其制品；石油焦、油页岩、原油、重油、渣油、煤焦油。</w:t>
                  </w:r>
                </w:p>
                <w:p>
                  <w:pPr>
                    <w:pStyle w:val="9"/>
                    <w:numPr>
                      <w:ilvl w:val="0"/>
                      <w:numId w:val="0"/>
                    </w:numPr>
                    <w:jc w:val="left"/>
                    <w:rPr>
                      <w:szCs w:val="21"/>
                    </w:rPr>
                  </w:pPr>
                  <w:r>
                    <w:rPr>
                      <w:rFonts w:hint="eastAsia"/>
                      <w:szCs w:val="21"/>
                    </w:rPr>
                    <w:t>②“III类”（严格），具体包括：煤炭及其制品（包括原煤、散煤、煤矸石、煤泥、煤粉、水煤浆、型煤、焦炭、兰炭等）；石油焦、油页岩、原油、重油、渣油、煤焦油；非专用锅炉或未配置高效除尘设施的专用锅炉燃用的生物质成型燃料；国家规定</w:t>
                  </w:r>
                  <w:r>
                    <w:rPr>
                      <w:rFonts w:hint="eastAsia"/>
                      <w:szCs w:val="21"/>
                      <w:lang w:eastAsia="zh-CN"/>
                    </w:rPr>
                    <w:t>的其他</w:t>
                  </w:r>
                  <w:r>
                    <w:rPr>
                      <w:rFonts w:hint="eastAsia"/>
                      <w:szCs w:val="21"/>
                    </w:rPr>
                    <w:t>高污染燃料。</w:t>
                  </w:r>
                </w:p>
              </w:tc>
              <w:tc>
                <w:tcPr>
                  <w:tcW w:w="1767" w:type="dxa"/>
                  <w:tcBorders>
                    <w:tl2br w:val="nil"/>
                    <w:tr2bl w:val="nil"/>
                  </w:tcBorders>
                  <w:vAlign w:val="center"/>
                </w:tcPr>
                <w:p>
                  <w:pPr>
                    <w:pStyle w:val="9"/>
                    <w:numPr>
                      <w:ilvl w:val="0"/>
                      <w:numId w:val="0"/>
                    </w:numPr>
                    <w:rPr>
                      <w:szCs w:val="21"/>
                    </w:rPr>
                  </w:pPr>
                  <w:r>
                    <w:rPr>
                      <w:rFonts w:hint="eastAsia"/>
                      <w:szCs w:val="21"/>
                    </w:rPr>
                    <w:t>本项目建成后不涉及高污染燃料的使用，主要使用电能等清洁能源。</w:t>
                  </w:r>
                </w:p>
              </w:tc>
            </w:tr>
          </w:tbl>
          <w:p>
            <w:pPr>
              <w:pStyle w:val="9"/>
              <w:numPr>
                <w:ilvl w:val="0"/>
                <w:numId w:val="0"/>
              </w:numPr>
              <w:spacing w:line="360" w:lineRule="auto"/>
              <w:jc w:val="center"/>
              <w:rPr>
                <w:b/>
                <w:bCs/>
                <w:szCs w:val="21"/>
              </w:rPr>
            </w:pPr>
            <w:r>
              <w:rPr>
                <w:rFonts w:hint="eastAsia"/>
                <w:b/>
                <w:bCs/>
                <w:szCs w:val="21"/>
              </w:rPr>
              <w:t>表1-</w:t>
            </w:r>
            <w:r>
              <w:rPr>
                <w:rFonts w:hint="eastAsia"/>
                <w:b/>
                <w:bCs/>
                <w:szCs w:val="21"/>
                <w:lang w:val="en-US" w:eastAsia="zh-CN"/>
              </w:rPr>
              <w:t>7</w:t>
            </w:r>
            <w:r>
              <w:rPr>
                <w:rFonts w:hint="eastAsia"/>
                <w:b/>
                <w:bCs/>
                <w:szCs w:val="21"/>
              </w:rPr>
              <w:t xml:space="preserve"> 常州市环境管控单元生态环境准入清单</w:t>
            </w:r>
          </w:p>
          <w:tbl>
            <w:tblPr>
              <w:tblStyle w:val="22"/>
              <w:tblW w:w="699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837"/>
              <w:gridCol w:w="24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l2br w:val="nil"/>
                    <w:tr2bl w:val="nil"/>
                  </w:tcBorders>
                  <w:vAlign w:val="center"/>
                </w:tcPr>
                <w:p>
                  <w:pPr>
                    <w:pStyle w:val="9"/>
                    <w:numPr>
                      <w:ilvl w:val="0"/>
                      <w:numId w:val="0"/>
                    </w:numPr>
                    <w:jc w:val="center"/>
                    <w:rPr>
                      <w:szCs w:val="21"/>
                    </w:rPr>
                  </w:pPr>
                  <w:r>
                    <w:rPr>
                      <w:rFonts w:hint="eastAsia"/>
                      <w:szCs w:val="21"/>
                    </w:rPr>
                    <w:t>环境管控单元名称</w:t>
                  </w:r>
                </w:p>
              </w:tc>
              <w:tc>
                <w:tcPr>
                  <w:tcW w:w="6279" w:type="dxa"/>
                  <w:gridSpan w:val="2"/>
                  <w:tcBorders>
                    <w:tl2br w:val="nil"/>
                    <w:tr2bl w:val="nil"/>
                  </w:tcBorders>
                  <w:vAlign w:val="center"/>
                </w:tcPr>
                <w:p>
                  <w:pPr>
                    <w:pStyle w:val="9"/>
                    <w:numPr>
                      <w:ilvl w:val="0"/>
                      <w:numId w:val="0"/>
                    </w:numPr>
                    <w:jc w:val="center"/>
                    <w:rPr>
                      <w:szCs w:val="21"/>
                    </w:rPr>
                  </w:pPr>
                  <w:r>
                    <w:rPr>
                      <w:szCs w:val="21"/>
                    </w:rPr>
                    <w:t>武进高新技术产业开发区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l2br w:val="nil"/>
                    <w:tr2bl w:val="nil"/>
                  </w:tcBorders>
                  <w:vAlign w:val="center"/>
                </w:tcPr>
                <w:p>
                  <w:pPr>
                    <w:pStyle w:val="9"/>
                    <w:numPr>
                      <w:ilvl w:val="0"/>
                      <w:numId w:val="0"/>
                    </w:numPr>
                    <w:jc w:val="center"/>
                    <w:rPr>
                      <w:szCs w:val="21"/>
                    </w:rPr>
                  </w:pPr>
                  <w:r>
                    <w:rPr>
                      <w:rFonts w:hint="eastAsia"/>
                      <w:szCs w:val="21"/>
                    </w:rPr>
                    <w:t>类型</w:t>
                  </w:r>
                </w:p>
              </w:tc>
              <w:tc>
                <w:tcPr>
                  <w:tcW w:w="6279" w:type="dxa"/>
                  <w:gridSpan w:val="2"/>
                  <w:tcBorders>
                    <w:tl2br w:val="nil"/>
                    <w:tr2bl w:val="nil"/>
                  </w:tcBorders>
                  <w:vAlign w:val="center"/>
                </w:tcPr>
                <w:p>
                  <w:pPr>
                    <w:pStyle w:val="9"/>
                    <w:numPr>
                      <w:ilvl w:val="0"/>
                      <w:numId w:val="0"/>
                    </w:numPr>
                    <w:jc w:val="center"/>
                    <w:rPr>
                      <w:rFonts w:hint="eastAsia" w:eastAsia="宋体"/>
                      <w:szCs w:val="21"/>
                      <w:lang w:eastAsia="zh-CN"/>
                    </w:rPr>
                  </w:pPr>
                  <w:r>
                    <w:rPr>
                      <w:rFonts w:hint="eastAsia"/>
                      <w:szCs w:val="21"/>
                      <w:lang w:val="en-US" w:eastAsia="zh-CN"/>
                    </w:rPr>
                    <w:t>园区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l2br w:val="nil"/>
                    <w:tr2bl w:val="nil"/>
                  </w:tcBorders>
                  <w:vAlign w:val="center"/>
                </w:tcPr>
                <w:p>
                  <w:pPr>
                    <w:pStyle w:val="9"/>
                    <w:numPr>
                      <w:ilvl w:val="0"/>
                      <w:numId w:val="0"/>
                    </w:numPr>
                    <w:jc w:val="center"/>
                    <w:rPr>
                      <w:szCs w:val="21"/>
                    </w:rPr>
                  </w:pPr>
                  <w:r>
                    <w:rPr>
                      <w:rFonts w:hint="eastAsia"/>
                      <w:szCs w:val="21"/>
                    </w:rPr>
                    <w:t>空间布局约束</w:t>
                  </w:r>
                </w:p>
              </w:tc>
              <w:tc>
                <w:tcPr>
                  <w:tcW w:w="3837" w:type="dxa"/>
                  <w:tcBorders>
                    <w:tl2br w:val="nil"/>
                    <w:tr2bl w:val="nil"/>
                  </w:tcBorders>
                  <w:vAlign w:val="center"/>
                </w:tcPr>
                <w:p>
                  <w:pPr>
                    <w:pStyle w:val="9"/>
                    <w:numPr>
                      <w:ilvl w:val="0"/>
                      <w:numId w:val="0"/>
                    </w:numPr>
                    <w:jc w:val="left"/>
                    <w:rPr>
                      <w:rFonts w:hint="eastAsia"/>
                      <w:szCs w:val="21"/>
                    </w:rPr>
                  </w:pPr>
                  <w:r>
                    <w:rPr>
                      <w:rFonts w:hint="eastAsia"/>
                      <w:szCs w:val="21"/>
                    </w:rPr>
                    <w:t>⑴禁止引入智能装备产业：电镀企业。</w:t>
                  </w:r>
                </w:p>
                <w:p>
                  <w:pPr>
                    <w:pStyle w:val="9"/>
                    <w:numPr>
                      <w:ilvl w:val="0"/>
                      <w:numId w:val="0"/>
                    </w:numPr>
                    <w:jc w:val="left"/>
                    <w:rPr>
                      <w:rFonts w:hint="eastAsia"/>
                      <w:szCs w:val="21"/>
                    </w:rPr>
                  </w:pPr>
                  <w:r>
                    <w:rPr>
                      <w:rFonts w:hint="eastAsia"/>
                      <w:szCs w:val="21"/>
                    </w:rPr>
                    <w:t>⑵禁止引入现代服务业中危险化学品仓储企业。</w:t>
                  </w:r>
                </w:p>
                <w:p>
                  <w:pPr>
                    <w:pStyle w:val="9"/>
                    <w:numPr>
                      <w:ilvl w:val="0"/>
                      <w:numId w:val="0"/>
                    </w:numPr>
                    <w:jc w:val="left"/>
                    <w:rPr>
                      <w:rFonts w:hint="eastAsia"/>
                      <w:szCs w:val="21"/>
                    </w:rPr>
                  </w:pPr>
                  <w:r>
                    <w:rPr>
                      <w:rFonts w:hint="eastAsia"/>
                      <w:szCs w:val="21"/>
                    </w:rPr>
                    <w:t>⑶禁止引入汽车产业中禁止生产国家禁止或公告停止销售的车辆。</w:t>
                  </w:r>
                </w:p>
                <w:p>
                  <w:pPr>
                    <w:pStyle w:val="9"/>
                    <w:numPr>
                      <w:ilvl w:val="0"/>
                      <w:numId w:val="0"/>
                    </w:numPr>
                    <w:jc w:val="left"/>
                    <w:rPr>
                      <w:rFonts w:hint="eastAsia"/>
                      <w:szCs w:val="21"/>
                    </w:rPr>
                  </w:pPr>
                  <w:r>
                    <w:rPr>
                      <w:rFonts w:hint="eastAsia"/>
                      <w:szCs w:val="21"/>
                    </w:rPr>
                    <w:t>⑷禁止引入医药和食品及保健品产业中精细化工、含原料药合成、含医药中间体生产、涉及医药化工、含原药提取、精制及制程相对复杂的生物医药产业(国家鼓励的新药研发除外)；废水排放量大的食品加工生产企业。</w:t>
                  </w:r>
                </w:p>
                <w:p>
                  <w:pPr>
                    <w:pStyle w:val="9"/>
                    <w:numPr>
                      <w:ilvl w:val="0"/>
                      <w:numId w:val="0"/>
                    </w:numPr>
                    <w:jc w:val="left"/>
                    <w:rPr>
                      <w:szCs w:val="21"/>
                    </w:rPr>
                  </w:pPr>
                  <w:r>
                    <w:rPr>
                      <w:rFonts w:hint="eastAsia"/>
                      <w:szCs w:val="21"/>
                    </w:rPr>
                    <w:t>⑸禁止引入不符合国家产业政策</w:t>
                  </w:r>
                  <w:r>
                    <w:rPr>
                      <w:rFonts w:hint="eastAsia"/>
                      <w:szCs w:val="21"/>
                      <w:lang w:eastAsia="zh-CN"/>
                    </w:rPr>
                    <w:t>的企</w:t>
                  </w:r>
                  <w:r>
                    <w:rPr>
                      <w:rFonts w:hint="eastAsia"/>
                      <w:szCs w:val="21"/>
                    </w:rPr>
                    <w:t>业；造纸、制革、印染、发酵、白酒、化工、电解铝等污染严重的企业。</w:t>
                  </w:r>
                </w:p>
              </w:tc>
              <w:tc>
                <w:tcPr>
                  <w:tcW w:w="2442" w:type="dxa"/>
                  <w:tcBorders>
                    <w:tl2br w:val="nil"/>
                    <w:tr2bl w:val="nil"/>
                  </w:tcBorders>
                  <w:vAlign w:val="center"/>
                </w:tcPr>
                <w:p>
                  <w:pPr>
                    <w:pStyle w:val="9"/>
                    <w:numPr>
                      <w:ilvl w:val="0"/>
                      <w:numId w:val="0"/>
                    </w:numPr>
                    <w:jc w:val="left"/>
                    <w:rPr>
                      <w:szCs w:val="21"/>
                    </w:rPr>
                  </w:pPr>
                  <w:r>
                    <w:rPr>
                      <w:rFonts w:hint="eastAsia"/>
                      <w:szCs w:val="21"/>
                    </w:rPr>
                    <w:t>本项目</w:t>
                  </w:r>
                  <w:r>
                    <w:rPr>
                      <w:rFonts w:hint="eastAsia" w:eastAsia="宋体"/>
                      <w:lang w:eastAsia="zh-CN"/>
                    </w:rPr>
                    <w:t>产品为医疗器械用塑料包装袋，</w:t>
                  </w:r>
                  <w:r>
                    <w:rPr>
                      <w:rFonts w:hint="eastAsia"/>
                      <w:lang w:val="en-US" w:eastAsia="zh-CN"/>
                    </w:rPr>
                    <w:t>配套园区内医疗器械企业包装</w:t>
                  </w:r>
                  <w:r>
                    <w:rPr>
                      <w:rFonts w:hint="eastAsia" w:eastAsia="宋体"/>
                      <w:lang w:eastAsia="zh-CN"/>
                    </w:rPr>
                    <w:t>，为C2921塑料薄膜制造</w:t>
                  </w:r>
                  <w:r>
                    <w:rPr>
                      <w:rFonts w:hint="eastAsia"/>
                      <w:szCs w:val="21"/>
                    </w:rPr>
                    <w:t>，不属于高新区禁止引入项目，符合管控要求。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l2br w:val="nil"/>
                    <w:tr2bl w:val="nil"/>
                  </w:tcBorders>
                  <w:vAlign w:val="center"/>
                </w:tcPr>
                <w:p>
                  <w:pPr>
                    <w:pStyle w:val="9"/>
                    <w:numPr>
                      <w:ilvl w:val="0"/>
                      <w:numId w:val="0"/>
                    </w:numPr>
                    <w:jc w:val="center"/>
                    <w:rPr>
                      <w:szCs w:val="21"/>
                    </w:rPr>
                  </w:pPr>
                  <w:r>
                    <w:rPr>
                      <w:rFonts w:hint="eastAsia"/>
                      <w:szCs w:val="21"/>
                    </w:rPr>
                    <w:t>污染物排放管控</w:t>
                  </w:r>
                </w:p>
              </w:tc>
              <w:tc>
                <w:tcPr>
                  <w:tcW w:w="3837" w:type="dxa"/>
                  <w:tcBorders>
                    <w:tl2br w:val="nil"/>
                    <w:tr2bl w:val="nil"/>
                  </w:tcBorders>
                  <w:vAlign w:val="center"/>
                </w:tcPr>
                <w:p>
                  <w:pPr>
                    <w:pStyle w:val="9"/>
                    <w:numPr>
                      <w:ilvl w:val="0"/>
                      <w:numId w:val="0"/>
                    </w:numPr>
                    <w:jc w:val="center"/>
                    <w:rPr>
                      <w:rFonts w:hint="eastAsia"/>
                      <w:szCs w:val="21"/>
                    </w:rPr>
                  </w:pPr>
                  <w:r>
                    <w:rPr>
                      <w:rFonts w:hint="eastAsia"/>
                      <w:szCs w:val="21"/>
                    </w:rPr>
                    <w:t>⑴严格实施污染物总量控制制度，根据区域环境质量改善目标，采取有效措施减少主要污染物排放总量，确保区域环境质量持续改善。</w:t>
                  </w:r>
                </w:p>
                <w:p>
                  <w:pPr>
                    <w:pStyle w:val="9"/>
                    <w:numPr>
                      <w:ilvl w:val="0"/>
                      <w:numId w:val="0"/>
                    </w:numPr>
                    <w:jc w:val="center"/>
                    <w:rPr>
                      <w:szCs w:val="21"/>
                    </w:rPr>
                  </w:pPr>
                  <w:r>
                    <w:rPr>
                      <w:rFonts w:hint="eastAsia"/>
                      <w:szCs w:val="21"/>
                    </w:rPr>
                    <w:t>⑵园区污染物排放总量不得突破环评报告及批复的总量。</w:t>
                  </w:r>
                </w:p>
              </w:tc>
              <w:tc>
                <w:tcPr>
                  <w:tcW w:w="2442" w:type="dxa"/>
                  <w:tcBorders>
                    <w:tl2br w:val="nil"/>
                    <w:tr2bl w:val="nil"/>
                  </w:tcBorders>
                  <w:vAlign w:val="center"/>
                </w:tcPr>
                <w:p>
                  <w:pPr>
                    <w:pStyle w:val="9"/>
                    <w:numPr>
                      <w:ilvl w:val="0"/>
                      <w:numId w:val="0"/>
                    </w:numPr>
                    <w:jc w:val="left"/>
                    <w:rPr>
                      <w:rFonts w:hint="eastAsia"/>
                      <w:szCs w:val="21"/>
                    </w:rPr>
                  </w:pPr>
                  <w:r>
                    <w:rPr>
                      <w:rFonts w:hint="eastAsia"/>
                      <w:szCs w:val="21"/>
                    </w:rPr>
                    <w:t>本项目无生产废水产生；废气经收集、处理后达标排放。项目废气采取有效</w:t>
                  </w:r>
                </w:p>
                <w:p>
                  <w:pPr>
                    <w:pStyle w:val="9"/>
                    <w:numPr>
                      <w:ilvl w:val="0"/>
                      <w:numId w:val="0"/>
                    </w:numPr>
                    <w:jc w:val="left"/>
                    <w:rPr>
                      <w:szCs w:val="21"/>
                    </w:rPr>
                  </w:pPr>
                  <w:r>
                    <w:rPr>
                      <w:rFonts w:hint="eastAsia"/>
                      <w:szCs w:val="21"/>
                    </w:rPr>
                    <w:t>措施减少污染物排放总量，并对污染物排放总量进行申请。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l2br w:val="nil"/>
                    <w:tr2bl w:val="nil"/>
                  </w:tcBorders>
                  <w:vAlign w:val="center"/>
                </w:tcPr>
                <w:p>
                  <w:pPr>
                    <w:pStyle w:val="9"/>
                    <w:numPr>
                      <w:ilvl w:val="0"/>
                      <w:numId w:val="0"/>
                    </w:numPr>
                    <w:jc w:val="center"/>
                    <w:rPr>
                      <w:szCs w:val="21"/>
                    </w:rPr>
                  </w:pPr>
                  <w:r>
                    <w:rPr>
                      <w:rFonts w:hint="eastAsia"/>
                      <w:szCs w:val="21"/>
                    </w:rPr>
                    <w:t>环境风险防控</w:t>
                  </w:r>
                </w:p>
              </w:tc>
              <w:tc>
                <w:tcPr>
                  <w:tcW w:w="3837" w:type="dxa"/>
                  <w:tcBorders>
                    <w:tl2br w:val="nil"/>
                    <w:tr2bl w:val="nil"/>
                  </w:tcBorders>
                  <w:vAlign w:val="center"/>
                </w:tcPr>
                <w:p>
                  <w:pPr>
                    <w:pStyle w:val="9"/>
                    <w:numPr>
                      <w:ilvl w:val="0"/>
                      <w:numId w:val="0"/>
                    </w:numPr>
                    <w:jc w:val="left"/>
                    <w:rPr>
                      <w:rFonts w:hint="eastAsia"/>
                      <w:szCs w:val="21"/>
                    </w:rPr>
                  </w:pPr>
                  <w:r>
                    <w:rPr>
                      <w:rFonts w:hint="eastAsia"/>
                      <w:szCs w:val="21"/>
                    </w:rPr>
                    <w:t>⑴园区建立环境应急体系，完善事故应急救援体系，加强应急物资装备储备，编制突发环境事件应急预案，定期开展演练。</w:t>
                  </w:r>
                </w:p>
                <w:p>
                  <w:pPr>
                    <w:pStyle w:val="9"/>
                    <w:numPr>
                      <w:ilvl w:val="0"/>
                      <w:numId w:val="0"/>
                    </w:numPr>
                    <w:jc w:val="left"/>
                    <w:rPr>
                      <w:rFonts w:hint="eastAsia"/>
                      <w:szCs w:val="21"/>
                    </w:rPr>
                  </w:pPr>
                  <w:r>
                    <w:rPr>
                      <w:rFonts w:hint="eastAsia"/>
                      <w:szCs w:val="21"/>
                    </w:rPr>
                    <w:t>⑵生产、使用、储存危险化学品或其他存在环境风险的企事业单位，应当制定风险防范措施，编制完善突发环境事件应急预案，防止发生环境污染事故。</w:t>
                  </w:r>
                </w:p>
                <w:p>
                  <w:pPr>
                    <w:pStyle w:val="9"/>
                    <w:numPr>
                      <w:ilvl w:val="0"/>
                      <w:numId w:val="0"/>
                    </w:numPr>
                    <w:jc w:val="left"/>
                    <w:rPr>
                      <w:szCs w:val="21"/>
                    </w:rPr>
                  </w:pPr>
                  <w:r>
                    <w:rPr>
                      <w:rFonts w:hint="eastAsia"/>
                      <w:szCs w:val="21"/>
                    </w:rPr>
                    <w:t>⑶加强环境影响跟踪监测，建立健全各环境要素监控体系，完善并落实园区日常环境监测与污染源监控计划。</w:t>
                  </w:r>
                </w:p>
              </w:tc>
              <w:tc>
                <w:tcPr>
                  <w:tcW w:w="2442" w:type="dxa"/>
                  <w:tcBorders>
                    <w:tl2br w:val="nil"/>
                    <w:tr2bl w:val="nil"/>
                  </w:tcBorders>
                  <w:vAlign w:val="center"/>
                </w:tcPr>
                <w:p>
                  <w:pPr>
                    <w:pStyle w:val="9"/>
                    <w:numPr>
                      <w:ilvl w:val="0"/>
                      <w:numId w:val="0"/>
                    </w:numPr>
                    <w:jc w:val="left"/>
                    <w:rPr>
                      <w:rFonts w:hint="eastAsia"/>
                      <w:szCs w:val="21"/>
                    </w:rPr>
                  </w:pPr>
                  <w:r>
                    <w:rPr>
                      <w:rFonts w:hint="eastAsia"/>
                      <w:szCs w:val="21"/>
                    </w:rPr>
                    <w:t>①园区已建立环境应急体系。②本项目建成后将及时编制《突发环境事件</w:t>
                  </w:r>
                </w:p>
                <w:p>
                  <w:pPr>
                    <w:pStyle w:val="9"/>
                    <w:numPr>
                      <w:ilvl w:val="0"/>
                      <w:numId w:val="0"/>
                    </w:numPr>
                    <w:jc w:val="left"/>
                    <w:rPr>
                      <w:rFonts w:hint="eastAsia"/>
                      <w:szCs w:val="21"/>
                    </w:rPr>
                  </w:pPr>
                  <w:r>
                    <w:rPr>
                      <w:rFonts w:hint="eastAsia"/>
                      <w:szCs w:val="21"/>
                    </w:rPr>
                    <w:t>应急预案》。③园区已建立健全各环境要素监控体系，委托专业单位定期</w:t>
                  </w:r>
                </w:p>
                <w:p>
                  <w:pPr>
                    <w:pStyle w:val="9"/>
                    <w:numPr>
                      <w:ilvl w:val="0"/>
                      <w:numId w:val="0"/>
                    </w:numPr>
                    <w:jc w:val="left"/>
                    <w:rPr>
                      <w:szCs w:val="21"/>
                    </w:rPr>
                  </w:pPr>
                  <w:r>
                    <w:rPr>
                      <w:rFonts w:hint="eastAsia"/>
                      <w:szCs w:val="21"/>
                    </w:rPr>
                    <w:t>进行检测。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15" w:type="dxa"/>
                  <w:tcBorders>
                    <w:tl2br w:val="nil"/>
                    <w:tr2bl w:val="nil"/>
                  </w:tcBorders>
                  <w:vAlign w:val="center"/>
                </w:tcPr>
                <w:p>
                  <w:pPr>
                    <w:pStyle w:val="9"/>
                    <w:numPr>
                      <w:ilvl w:val="0"/>
                      <w:numId w:val="0"/>
                    </w:numPr>
                    <w:jc w:val="center"/>
                    <w:rPr>
                      <w:szCs w:val="21"/>
                    </w:rPr>
                  </w:pPr>
                  <w:r>
                    <w:rPr>
                      <w:rFonts w:hint="eastAsia"/>
                      <w:szCs w:val="21"/>
                    </w:rPr>
                    <w:t>资源开发效率要求</w:t>
                  </w:r>
                </w:p>
              </w:tc>
              <w:tc>
                <w:tcPr>
                  <w:tcW w:w="3837" w:type="dxa"/>
                  <w:tcBorders>
                    <w:tl2br w:val="nil"/>
                    <w:tr2bl w:val="nil"/>
                  </w:tcBorders>
                  <w:vAlign w:val="center"/>
                </w:tcPr>
                <w:p>
                  <w:pPr>
                    <w:pStyle w:val="9"/>
                    <w:numPr>
                      <w:ilvl w:val="0"/>
                      <w:numId w:val="0"/>
                    </w:numPr>
                    <w:jc w:val="left"/>
                    <w:rPr>
                      <w:rFonts w:hint="eastAsia"/>
                      <w:szCs w:val="21"/>
                    </w:rPr>
                  </w:pPr>
                  <w:r>
                    <w:rPr>
                      <w:rFonts w:hint="eastAsia"/>
                      <w:szCs w:val="21"/>
                    </w:rPr>
                    <w:t>⑴大力倡导使用清洁能源。</w:t>
                  </w:r>
                </w:p>
                <w:p>
                  <w:pPr>
                    <w:pStyle w:val="9"/>
                    <w:numPr>
                      <w:ilvl w:val="0"/>
                      <w:numId w:val="0"/>
                    </w:numPr>
                    <w:jc w:val="left"/>
                    <w:rPr>
                      <w:rFonts w:hint="eastAsia"/>
                      <w:szCs w:val="21"/>
                    </w:rPr>
                  </w:pPr>
                  <w:r>
                    <w:rPr>
                      <w:rFonts w:hint="eastAsia"/>
                      <w:szCs w:val="21"/>
                    </w:rPr>
                    <w:t>⑵提升废水资源化技术，提高水资源回用率。</w:t>
                  </w:r>
                </w:p>
                <w:p>
                  <w:pPr>
                    <w:pStyle w:val="9"/>
                    <w:numPr>
                      <w:ilvl w:val="0"/>
                      <w:numId w:val="0"/>
                    </w:numPr>
                    <w:jc w:val="left"/>
                    <w:rPr>
                      <w:szCs w:val="21"/>
                    </w:rPr>
                  </w:pPr>
                  <w:r>
                    <w:rPr>
                      <w:rFonts w:hint="eastAsia"/>
                      <w:szCs w:val="21"/>
                    </w:rPr>
                    <w:t>⑶禁止销售使用燃料为“III 类”（严格），具体包括：1、煤炭及其制品（包括原煤、散煤、煤矸石、煤泥、煤粉、水煤浆、型煤、焦炭、兰炭等）；2、石油焦、油页岩、原油、重油、渣油、煤焦油；3、非专用锅炉或未配置高效除尘设施的专用锅炉燃用的生物质成型燃料；4、国家规定的其它高污染燃料。</w:t>
                  </w:r>
                </w:p>
              </w:tc>
              <w:tc>
                <w:tcPr>
                  <w:tcW w:w="2442" w:type="dxa"/>
                  <w:tcBorders>
                    <w:tl2br w:val="nil"/>
                    <w:tr2bl w:val="nil"/>
                  </w:tcBorders>
                  <w:vAlign w:val="center"/>
                </w:tcPr>
                <w:p>
                  <w:pPr>
                    <w:pStyle w:val="9"/>
                    <w:numPr>
                      <w:ilvl w:val="0"/>
                      <w:numId w:val="0"/>
                    </w:numPr>
                    <w:jc w:val="left"/>
                    <w:rPr>
                      <w:szCs w:val="21"/>
                    </w:rPr>
                  </w:pPr>
                  <w:r>
                    <w:rPr>
                      <w:rFonts w:hint="eastAsia"/>
                      <w:szCs w:val="21"/>
                    </w:rPr>
                    <w:t>本项目使用电能，不涉及高污染燃料。</w:t>
                  </w:r>
                </w:p>
              </w:tc>
            </w:tr>
          </w:tbl>
          <w:p>
            <w:pPr>
              <w:pStyle w:val="9"/>
              <w:numPr>
                <w:ilvl w:val="0"/>
                <w:numId w:val="0"/>
              </w:numPr>
              <w:spacing w:line="360" w:lineRule="auto"/>
              <w:ind w:firstLine="420" w:firstLineChars="200"/>
              <w:jc w:val="left"/>
              <w:rPr>
                <w:szCs w:val="21"/>
              </w:rPr>
            </w:pPr>
            <w:r>
              <w:rPr>
                <w:rFonts w:hint="eastAsia"/>
                <w:szCs w:val="21"/>
              </w:rPr>
              <w:t>综上，本项目符合《关于印发常州市“三线一单”生态环境分区管控实施方案的通知》（常环[2020]95号）中规定的相关内容。</w:t>
            </w:r>
          </w:p>
          <w:p>
            <w:pPr>
              <w:pStyle w:val="9"/>
              <w:numPr>
                <w:ilvl w:val="0"/>
                <w:numId w:val="0"/>
              </w:numPr>
              <w:spacing w:line="360" w:lineRule="auto"/>
              <w:ind w:firstLine="422" w:firstLineChars="200"/>
              <w:rPr>
                <w:b/>
                <w:bCs/>
                <w:szCs w:val="21"/>
              </w:rPr>
            </w:pPr>
            <w:r>
              <w:rPr>
                <w:b/>
                <w:bCs/>
                <w:szCs w:val="21"/>
              </w:rPr>
              <w:t>4、</w:t>
            </w:r>
            <w:r>
              <w:rPr>
                <w:rFonts w:hint="eastAsia"/>
                <w:b/>
                <w:bCs/>
                <w:szCs w:val="21"/>
              </w:rPr>
              <w:t>与《省生态环境厅关于进一步做好建设项目环评审批工作的通知》（苏环办[2019]36号）相符性分析</w:t>
            </w:r>
          </w:p>
          <w:p>
            <w:pPr>
              <w:pStyle w:val="9"/>
              <w:numPr>
                <w:ilvl w:val="0"/>
                <w:numId w:val="0"/>
              </w:numPr>
              <w:spacing w:line="360" w:lineRule="auto"/>
              <w:jc w:val="center"/>
              <w:rPr>
                <w:szCs w:val="21"/>
              </w:rPr>
            </w:pPr>
            <w:r>
              <w:rPr>
                <w:rFonts w:hint="eastAsia"/>
                <w:b/>
                <w:bCs/>
                <w:szCs w:val="21"/>
              </w:rPr>
              <w:t>表1-</w:t>
            </w:r>
            <w:r>
              <w:rPr>
                <w:rFonts w:hint="eastAsia"/>
                <w:b/>
                <w:bCs/>
                <w:szCs w:val="21"/>
                <w:lang w:val="en-US" w:eastAsia="zh-CN"/>
              </w:rPr>
              <w:t>8</w:t>
            </w:r>
            <w:r>
              <w:rPr>
                <w:rFonts w:hint="eastAsia"/>
                <w:b/>
                <w:bCs/>
                <w:szCs w:val="21"/>
              </w:rPr>
              <w:t xml:space="preserve"> 与“苏环办[2019]36号”相符性分析</w:t>
            </w:r>
          </w:p>
          <w:tbl>
            <w:tblPr>
              <w:tblStyle w:val="22"/>
              <w:tblW w:w="699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482"/>
              <w:gridCol w:w="1393"/>
              <w:gridCol w:w="6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2" w:type="dxa"/>
                  <w:tcBorders>
                    <w:tl2br w:val="nil"/>
                    <w:tr2bl w:val="nil"/>
                  </w:tcBorders>
                  <w:vAlign w:val="center"/>
                </w:tcPr>
                <w:p>
                  <w:pPr>
                    <w:pStyle w:val="9"/>
                    <w:numPr>
                      <w:ilvl w:val="0"/>
                      <w:numId w:val="0"/>
                    </w:numPr>
                    <w:jc w:val="center"/>
                    <w:rPr>
                      <w:szCs w:val="21"/>
                    </w:rPr>
                  </w:pPr>
                  <w:r>
                    <w:rPr>
                      <w:rFonts w:hint="eastAsia"/>
                      <w:szCs w:val="21"/>
                    </w:rPr>
                    <w:t>类别</w:t>
                  </w:r>
                </w:p>
              </w:tc>
              <w:tc>
                <w:tcPr>
                  <w:tcW w:w="3482" w:type="dxa"/>
                  <w:tcBorders>
                    <w:tl2br w:val="nil"/>
                    <w:tr2bl w:val="nil"/>
                  </w:tcBorders>
                  <w:vAlign w:val="center"/>
                </w:tcPr>
                <w:p>
                  <w:pPr>
                    <w:pStyle w:val="9"/>
                    <w:numPr>
                      <w:ilvl w:val="0"/>
                      <w:numId w:val="0"/>
                    </w:numPr>
                    <w:jc w:val="center"/>
                    <w:rPr>
                      <w:szCs w:val="21"/>
                    </w:rPr>
                  </w:pPr>
                  <w:r>
                    <w:rPr>
                      <w:rFonts w:hint="eastAsia"/>
                      <w:szCs w:val="21"/>
                    </w:rPr>
                    <w:t>文件要求（建设项目环评审批要点）</w:t>
                  </w:r>
                </w:p>
              </w:tc>
              <w:tc>
                <w:tcPr>
                  <w:tcW w:w="1393" w:type="dxa"/>
                  <w:tcBorders>
                    <w:tl2br w:val="nil"/>
                    <w:tr2bl w:val="nil"/>
                  </w:tcBorders>
                  <w:vAlign w:val="center"/>
                </w:tcPr>
                <w:p>
                  <w:pPr>
                    <w:pStyle w:val="9"/>
                    <w:numPr>
                      <w:ilvl w:val="0"/>
                      <w:numId w:val="0"/>
                    </w:numPr>
                    <w:jc w:val="center"/>
                    <w:rPr>
                      <w:szCs w:val="21"/>
                    </w:rPr>
                  </w:pPr>
                  <w:r>
                    <w:rPr>
                      <w:rFonts w:hint="eastAsia"/>
                      <w:szCs w:val="21"/>
                    </w:rPr>
                    <w:t>符合性分析</w:t>
                  </w:r>
                </w:p>
              </w:tc>
              <w:tc>
                <w:tcPr>
                  <w:tcW w:w="687" w:type="dxa"/>
                  <w:tcBorders>
                    <w:tl2br w:val="nil"/>
                    <w:tr2bl w:val="nil"/>
                  </w:tcBorders>
                  <w:vAlign w:val="center"/>
                </w:tcPr>
                <w:p>
                  <w:pPr>
                    <w:pStyle w:val="9"/>
                    <w:numPr>
                      <w:ilvl w:val="0"/>
                      <w:numId w:val="0"/>
                    </w:numPr>
                    <w:jc w:val="center"/>
                    <w:rPr>
                      <w:szCs w:val="21"/>
                    </w:rPr>
                  </w:pPr>
                  <w:r>
                    <w:rPr>
                      <w:rFonts w:hint="eastAsia"/>
                      <w:szCs w:val="21"/>
                    </w:rPr>
                    <w:t>符合情况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32" w:type="dxa"/>
                  <w:tcBorders>
                    <w:tl2br w:val="nil"/>
                    <w:tr2bl w:val="nil"/>
                  </w:tcBorders>
                  <w:vAlign w:val="center"/>
                </w:tcPr>
                <w:p>
                  <w:pPr>
                    <w:pStyle w:val="9"/>
                    <w:numPr>
                      <w:ilvl w:val="0"/>
                      <w:numId w:val="0"/>
                    </w:numPr>
                    <w:jc w:val="center"/>
                    <w:rPr>
                      <w:szCs w:val="21"/>
                    </w:rPr>
                  </w:pPr>
                  <w:r>
                    <w:rPr>
                      <w:rFonts w:hint="eastAsia"/>
                      <w:szCs w:val="21"/>
                    </w:rPr>
                    <w:t>《建设项目环境保护管理条例》</w:t>
                  </w:r>
                </w:p>
              </w:tc>
              <w:tc>
                <w:tcPr>
                  <w:tcW w:w="3482" w:type="dxa"/>
                  <w:tcBorders>
                    <w:tl2br w:val="nil"/>
                    <w:tr2bl w:val="nil"/>
                  </w:tcBorders>
                  <w:vAlign w:val="center"/>
                </w:tcPr>
                <w:p>
                  <w:pPr>
                    <w:pStyle w:val="9"/>
                    <w:numPr>
                      <w:ilvl w:val="0"/>
                      <w:numId w:val="0"/>
                    </w:numPr>
                    <w:jc w:val="left"/>
                    <w:rPr>
                      <w:szCs w:val="21"/>
                    </w:rPr>
                  </w:pPr>
                  <w:r>
                    <w:rPr>
                      <w:rFonts w:hint="eastAsia"/>
                      <w:szCs w:val="21"/>
                    </w:rPr>
                    <w:t>有下列情形之一的，不予批准：（1）建设项目类型及其选址、布局、规模等不符合环境保护法律法规和相关法定规划；（2）所在区域环境质量未达到国家或者地方环境质量标准，且建设项目拟采取的措施不能满足区域环境质量改善目标管理要求；</w:t>
                  </w:r>
                </w:p>
                <w:p>
                  <w:pPr>
                    <w:pStyle w:val="9"/>
                    <w:numPr>
                      <w:ilvl w:val="0"/>
                      <w:numId w:val="0"/>
                    </w:numPr>
                    <w:jc w:val="left"/>
                    <w:rPr>
                      <w:szCs w:val="21"/>
                    </w:rPr>
                  </w:pPr>
                  <w:r>
                    <w:rPr>
                      <w:rFonts w:hint="eastAsia"/>
                      <w:szCs w:val="21"/>
                    </w:rPr>
                    <w:t>（3）建设项目采取的污染防治措施无法确保污染物排放达到国家和地方排放标准，或者未采取必要措施预防和控制生态破坏；</w:t>
                  </w:r>
                </w:p>
                <w:p>
                  <w:pPr>
                    <w:pStyle w:val="9"/>
                    <w:numPr>
                      <w:ilvl w:val="0"/>
                      <w:numId w:val="0"/>
                    </w:numPr>
                    <w:jc w:val="left"/>
                    <w:rPr>
                      <w:szCs w:val="21"/>
                    </w:rPr>
                  </w:pPr>
                  <w:r>
                    <w:rPr>
                      <w:rFonts w:hint="eastAsia"/>
                      <w:szCs w:val="21"/>
                    </w:rPr>
                    <w:t>（4）改建、扩建和技术改造项目，未针对项目原有环境污染和生态破坏提出有效防治措施；</w:t>
                  </w:r>
                </w:p>
                <w:p>
                  <w:pPr>
                    <w:pStyle w:val="9"/>
                    <w:numPr>
                      <w:ilvl w:val="0"/>
                      <w:numId w:val="0"/>
                    </w:numPr>
                    <w:jc w:val="left"/>
                    <w:rPr>
                      <w:szCs w:val="21"/>
                    </w:rPr>
                  </w:pPr>
                  <w:r>
                    <w:rPr>
                      <w:rFonts w:hint="eastAsia"/>
                      <w:szCs w:val="21"/>
                    </w:rPr>
                    <w:t>（5）建设项目的环境影响报告书、环境影响报告表的基础资料数据明显不实，内容存在重大缺陷、遗漏，或者环境影响评价结论不明确、不合理。</w:t>
                  </w:r>
                </w:p>
              </w:tc>
              <w:tc>
                <w:tcPr>
                  <w:tcW w:w="1393" w:type="dxa"/>
                  <w:tcBorders>
                    <w:tl2br w:val="nil"/>
                    <w:tr2bl w:val="nil"/>
                  </w:tcBorders>
                </w:tcPr>
                <w:p>
                  <w:pPr>
                    <w:pStyle w:val="9"/>
                    <w:numPr>
                      <w:ilvl w:val="0"/>
                      <w:numId w:val="0"/>
                    </w:numPr>
                    <w:rPr>
                      <w:szCs w:val="21"/>
                    </w:rPr>
                  </w:pPr>
                  <w:r>
                    <w:rPr>
                      <w:rFonts w:hint="eastAsia"/>
                      <w:szCs w:val="21"/>
                    </w:rPr>
                    <w:t>（1）建设项目类型及其选址、布局、规模等符合环境保护法律法规和相关法定规划；（2）项目所在地环境质量不达标区，项目拟采取的措施能满足区域环境质量改善目标管理要求；（3）建设项目采取的污染防治措施确保污染物排放达到国家和地方排放标准。</w:t>
                  </w:r>
                </w:p>
              </w:tc>
              <w:tc>
                <w:tcPr>
                  <w:tcW w:w="687" w:type="dxa"/>
                  <w:tcBorders>
                    <w:tl2br w:val="nil"/>
                    <w:tr2bl w:val="nil"/>
                  </w:tcBorders>
                  <w:vAlign w:val="center"/>
                </w:tcPr>
                <w:p>
                  <w:pPr>
                    <w:pStyle w:val="9"/>
                    <w:numPr>
                      <w:ilvl w:val="0"/>
                      <w:numId w:val="0"/>
                    </w:numPr>
                    <w:jc w:val="center"/>
                    <w:rPr>
                      <w:szCs w:val="21"/>
                    </w:rPr>
                  </w:pPr>
                  <w:r>
                    <w:rPr>
                      <w:rFonts w:hint="eastAsia"/>
                      <w:szCs w:val="21"/>
                    </w:rPr>
                    <w:t>相符</w:t>
                  </w:r>
                </w:p>
              </w:tc>
            </w:tr>
          </w:tbl>
          <w:p>
            <w:pPr>
              <w:pStyle w:val="9"/>
              <w:numPr>
                <w:ilvl w:val="0"/>
                <w:numId w:val="0"/>
              </w:numPr>
              <w:spacing w:line="360" w:lineRule="auto"/>
              <w:ind w:firstLine="420" w:firstLineChars="200"/>
              <w:rPr>
                <w:szCs w:val="21"/>
              </w:rPr>
            </w:pPr>
            <w:r>
              <w:rPr>
                <w:rFonts w:hint="eastAsia"/>
                <w:szCs w:val="21"/>
              </w:rPr>
              <w:t>综上所述，本项目符合《省生态环境厅关于进一步做好建设项目环评审批工作的通知》（苏环办[2019]36 号）相关内容。</w:t>
            </w:r>
          </w:p>
          <w:p>
            <w:pPr>
              <w:pStyle w:val="9"/>
              <w:numPr>
                <w:ilvl w:val="0"/>
                <w:numId w:val="0"/>
              </w:numPr>
              <w:spacing w:line="360" w:lineRule="auto"/>
              <w:ind w:firstLine="422" w:firstLineChars="200"/>
              <w:rPr>
                <w:b/>
                <w:bCs/>
                <w:szCs w:val="21"/>
              </w:rPr>
            </w:pPr>
            <w:r>
              <w:rPr>
                <w:rFonts w:hint="eastAsia"/>
                <w:b/>
                <w:bCs/>
                <w:szCs w:val="21"/>
                <w:lang w:val="en-US" w:eastAsia="zh-CN"/>
              </w:rPr>
              <w:t>5</w:t>
            </w:r>
            <w:r>
              <w:rPr>
                <w:b/>
                <w:bCs/>
                <w:szCs w:val="21"/>
              </w:rPr>
              <w:t>、</w:t>
            </w:r>
            <w:r>
              <w:rPr>
                <w:rFonts w:hint="eastAsia"/>
                <w:b/>
                <w:bCs/>
                <w:szCs w:val="21"/>
              </w:rPr>
              <w:t>与《长江经济带发展负面清单指南（试行，2022年版）》相符性分析</w:t>
            </w:r>
          </w:p>
          <w:p>
            <w:pPr>
              <w:pStyle w:val="9"/>
              <w:numPr>
                <w:ilvl w:val="0"/>
                <w:numId w:val="0"/>
              </w:numPr>
              <w:spacing w:line="360" w:lineRule="auto"/>
              <w:jc w:val="center"/>
              <w:rPr>
                <w:szCs w:val="21"/>
              </w:rPr>
            </w:pPr>
            <w:r>
              <w:rPr>
                <w:rFonts w:hint="eastAsia"/>
                <w:b/>
                <w:bCs/>
                <w:szCs w:val="21"/>
              </w:rPr>
              <w:t>表1-</w:t>
            </w:r>
            <w:r>
              <w:rPr>
                <w:rFonts w:hint="eastAsia"/>
                <w:b/>
                <w:bCs/>
                <w:szCs w:val="21"/>
                <w:lang w:val="en-US" w:eastAsia="zh-CN"/>
              </w:rPr>
              <w:t>9</w:t>
            </w:r>
            <w:r>
              <w:rPr>
                <w:rFonts w:hint="eastAsia"/>
                <w:b/>
                <w:bCs/>
                <w:szCs w:val="21"/>
              </w:rPr>
              <w:t xml:space="preserve"> 与《长江经济带发展负面清单指南（试行）2022年版》相符性分析</w:t>
            </w:r>
          </w:p>
          <w:tbl>
            <w:tblPr>
              <w:tblStyle w:val="22"/>
              <w:tblW w:w="699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410"/>
              <w:gridCol w:w="2227"/>
              <w:gridCol w:w="6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0" w:type="dxa"/>
                  <w:tcBorders>
                    <w:tl2br w:val="nil"/>
                    <w:tr2bl w:val="nil"/>
                  </w:tcBorders>
                  <w:vAlign w:val="center"/>
                </w:tcPr>
                <w:p>
                  <w:pPr>
                    <w:pStyle w:val="9"/>
                    <w:numPr>
                      <w:ilvl w:val="0"/>
                      <w:numId w:val="0"/>
                    </w:numPr>
                    <w:jc w:val="center"/>
                    <w:rPr>
                      <w:rFonts w:hint="eastAsia" w:eastAsia="宋体"/>
                      <w:szCs w:val="21"/>
                      <w:lang w:eastAsia="zh-CN"/>
                    </w:rPr>
                  </w:pPr>
                  <w:r>
                    <w:rPr>
                      <w:rFonts w:hint="eastAsia"/>
                      <w:szCs w:val="21"/>
                      <w:lang w:val="en-US" w:eastAsia="zh-CN"/>
                    </w:rPr>
                    <w:t>序号</w:t>
                  </w:r>
                </w:p>
              </w:tc>
              <w:tc>
                <w:tcPr>
                  <w:tcW w:w="3410" w:type="dxa"/>
                  <w:tcBorders>
                    <w:tl2br w:val="nil"/>
                    <w:tr2bl w:val="nil"/>
                  </w:tcBorders>
                  <w:vAlign w:val="center"/>
                </w:tcPr>
                <w:p>
                  <w:pPr>
                    <w:pStyle w:val="9"/>
                    <w:numPr>
                      <w:ilvl w:val="0"/>
                      <w:numId w:val="0"/>
                    </w:numPr>
                    <w:jc w:val="center"/>
                    <w:rPr>
                      <w:rFonts w:hint="default" w:eastAsia="宋体"/>
                      <w:szCs w:val="21"/>
                      <w:lang w:val="en-US" w:eastAsia="zh-CN"/>
                    </w:rPr>
                  </w:pPr>
                  <w:r>
                    <w:rPr>
                      <w:rFonts w:hint="eastAsia"/>
                      <w:szCs w:val="21"/>
                      <w:lang w:val="en-US" w:eastAsia="zh-CN"/>
                    </w:rPr>
                    <w:t>相关内容</w:t>
                  </w:r>
                </w:p>
              </w:tc>
              <w:tc>
                <w:tcPr>
                  <w:tcW w:w="2227" w:type="dxa"/>
                  <w:tcBorders>
                    <w:tl2br w:val="nil"/>
                    <w:tr2bl w:val="nil"/>
                  </w:tcBorders>
                  <w:vAlign w:val="center"/>
                </w:tcPr>
                <w:p>
                  <w:pPr>
                    <w:pStyle w:val="9"/>
                    <w:numPr>
                      <w:ilvl w:val="0"/>
                      <w:numId w:val="0"/>
                    </w:numPr>
                    <w:jc w:val="center"/>
                    <w:rPr>
                      <w:rFonts w:hint="eastAsia" w:eastAsia="宋体"/>
                      <w:szCs w:val="21"/>
                      <w:lang w:eastAsia="zh-CN"/>
                    </w:rPr>
                  </w:pPr>
                  <w:r>
                    <w:rPr>
                      <w:rFonts w:hint="eastAsia"/>
                      <w:szCs w:val="21"/>
                      <w:lang w:val="en-US" w:eastAsia="zh-CN"/>
                    </w:rPr>
                    <w:t>本项目</w:t>
                  </w:r>
                </w:p>
              </w:tc>
              <w:tc>
                <w:tcPr>
                  <w:tcW w:w="687" w:type="dxa"/>
                  <w:tcBorders>
                    <w:tl2br w:val="nil"/>
                    <w:tr2bl w:val="nil"/>
                  </w:tcBorders>
                  <w:vAlign w:val="center"/>
                </w:tcPr>
                <w:p>
                  <w:pPr>
                    <w:pStyle w:val="9"/>
                    <w:numPr>
                      <w:ilvl w:val="0"/>
                      <w:numId w:val="0"/>
                    </w:numPr>
                    <w:jc w:val="center"/>
                    <w:rPr>
                      <w:szCs w:val="21"/>
                    </w:rPr>
                  </w:pPr>
                  <w:r>
                    <w:rPr>
                      <w:rFonts w:hint="eastAsia"/>
                      <w:szCs w:val="21"/>
                    </w:rPr>
                    <w:t>符合情况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0" w:type="dxa"/>
                  <w:tcBorders>
                    <w:tl2br w:val="nil"/>
                    <w:tr2bl w:val="nil"/>
                  </w:tcBorders>
                  <w:vAlign w:val="center"/>
                </w:tcPr>
                <w:p>
                  <w:pPr>
                    <w:pStyle w:val="9"/>
                    <w:numPr>
                      <w:ilvl w:val="0"/>
                      <w:numId w:val="0"/>
                    </w:numPr>
                    <w:jc w:val="center"/>
                    <w:rPr>
                      <w:rFonts w:hint="eastAsia" w:eastAsia="宋体"/>
                      <w:szCs w:val="21"/>
                      <w:lang w:val="en-US" w:eastAsia="zh-CN"/>
                    </w:rPr>
                  </w:pPr>
                  <w:r>
                    <w:rPr>
                      <w:rFonts w:hint="eastAsia"/>
                      <w:szCs w:val="21"/>
                      <w:lang w:val="en-US" w:eastAsia="zh-CN"/>
                    </w:rPr>
                    <w:t>1</w:t>
                  </w:r>
                </w:p>
              </w:tc>
              <w:tc>
                <w:tcPr>
                  <w:tcW w:w="3410" w:type="dxa"/>
                  <w:tcBorders>
                    <w:tl2br w:val="nil"/>
                    <w:tr2bl w:val="nil"/>
                  </w:tcBorders>
                  <w:vAlign w:val="center"/>
                </w:tcPr>
                <w:p>
                  <w:pPr>
                    <w:pStyle w:val="9"/>
                    <w:numPr>
                      <w:ilvl w:val="0"/>
                      <w:numId w:val="0"/>
                    </w:numPr>
                    <w:jc w:val="left"/>
                    <w:rPr>
                      <w:szCs w:val="21"/>
                    </w:rPr>
                  </w:pPr>
                  <w:r>
                    <w:rPr>
                      <w:rFonts w:hint="eastAsia"/>
                      <w:szCs w:val="21"/>
                    </w:rPr>
                    <w:t>禁止建设不符合全国和省级港口布局规划以及港口总体规划的码头项目，禁止建设不符合《长江干线过江通道布局规划》的过长江通道项目。</w:t>
                  </w:r>
                </w:p>
              </w:tc>
              <w:tc>
                <w:tcPr>
                  <w:tcW w:w="2227" w:type="dxa"/>
                  <w:tcBorders>
                    <w:tl2br w:val="nil"/>
                    <w:tr2bl w:val="nil"/>
                  </w:tcBorders>
                  <w:vAlign w:val="center"/>
                </w:tcPr>
                <w:p>
                  <w:pPr>
                    <w:pStyle w:val="9"/>
                    <w:numPr>
                      <w:ilvl w:val="0"/>
                      <w:numId w:val="0"/>
                    </w:numPr>
                    <w:rPr>
                      <w:szCs w:val="21"/>
                    </w:rPr>
                  </w:pPr>
                  <w:r>
                    <w:rPr>
                      <w:rFonts w:hint="eastAsia"/>
                      <w:szCs w:val="21"/>
                    </w:rPr>
                    <w:t>本项目不属于码头项目，不属于《长江干线过江通道布局规划》的过长江通道项目。</w:t>
                  </w:r>
                </w:p>
              </w:tc>
              <w:tc>
                <w:tcPr>
                  <w:tcW w:w="687" w:type="dxa"/>
                  <w:tcBorders>
                    <w:tl2br w:val="nil"/>
                    <w:tr2bl w:val="nil"/>
                  </w:tcBorders>
                  <w:vAlign w:val="center"/>
                </w:tcPr>
                <w:p>
                  <w:pPr>
                    <w:pStyle w:val="9"/>
                    <w:numPr>
                      <w:ilvl w:val="0"/>
                      <w:numId w:val="0"/>
                    </w:numPr>
                    <w:jc w:val="center"/>
                    <w:rPr>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0" w:type="dxa"/>
                  <w:tcBorders>
                    <w:tl2br w:val="nil"/>
                    <w:tr2bl w:val="nil"/>
                  </w:tcBorders>
                  <w:vAlign w:val="center"/>
                </w:tcPr>
                <w:p>
                  <w:pPr>
                    <w:pStyle w:val="9"/>
                    <w:numPr>
                      <w:ilvl w:val="0"/>
                      <w:numId w:val="0"/>
                    </w:numPr>
                    <w:jc w:val="center"/>
                    <w:rPr>
                      <w:rFonts w:hint="default"/>
                      <w:szCs w:val="21"/>
                      <w:lang w:val="en-US" w:eastAsia="zh-CN"/>
                    </w:rPr>
                  </w:pPr>
                  <w:r>
                    <w:rPr>
                      <w:rFonts w:hint="eastAsia"/>
                      <w:szCs w:val="21"/>
                      <w:lang w:val="en-US" w:eastAsia="zh-CN"/>
                    </w:rPr>
                    <w:t>2</w:t>
                  </w:r>
                </w:p>
              </w:tc>
              <w:tc>
                <w:tcPr>
                  <w:tcW w:w="3410" w:type="dxa"/>
                  <w:tcBorders>
                    <w:tl2br w:val="nil"/>
                    <w:tr2bl w:val="nil"/>
                  </w:tcBorders>
                  <w:vAlign w:val="center"/>
                </w:tcPr>
                <w:p>
                  <w:pPr>
                    <w:pStyle w:val="9"/>
                    <w:numPr>
                      <w:ilvl w:val="0"/>
                      <w:numId w:val="0"/>
                    </w:numPr>
                    <w:jc w:val="left"/>
                    <w:rPr>
                      <w:rFonts w:hint="eastAsia"/>
                      <w:szCs w:val="21"/>
                    </w:rPr>
                  </w:pPr>
                  <w:r>
                    <w:rPr>
                      <w:rFonts w:hint="eastAsia"/>
                      <w:szCs w:val="21"/>
                    </w:rPr>
                    <w:t>禁止在自然保护区核心区、缓冲区的岸线和河段范围内投资建设旅游和生产经营项目，禁止在风景名胜区核心景区的岸线和河段范围内投资建设与风景名胜资源保护无关的项目。</w:t>
                  </w:r>
                </w:p>
              </w:tc>
              <w:tc>
                <w:tcPr>
                  <w:tcW w:w="2227" w:type="dxa"/>
                  <w:tcBorders>
                    <w:tl2br w:val="nil"/>
                    <w:tr2bl w:val="nil"/>
                  </w:tcBorders>
                  <w:vAlign w:val="center"/>
                </w:tcPr>
                <w:p>
                  <w:pPr>
                    <w:pStyle w:val="9"/>
                    <w:numPr>
                      <w:ilvl w:val="0"/>
                      <w:numId w:val="0"/>
                    </w:numPr>
                    <w:rPr>
                      <w:rFonts w:hint="eastAsia"/>
                      <w:szCs w:val="21"/>
                    </w:rPr>
                  </w:pPr>
                  <w:r>
                    <w:rPr>
                      <w:rFonts w:hint="eastAsia"/>
                      <w:szCs w:val="21"/>
                    </w:rPr>
                    <w:t>本项目位于江苏省常州市武进国家高新技术产业开发区龙逸路76号，不在自然保护区核心区、缓冲区岸线和河段范围内，不在国家级和省级风景名胜区核心景区的岸线和河段范围内。</w:t>
                  </w:r>
                </w:p>
              </w:tc>
              <w:tc>
                <w:tcPr>
                  <w:tcW w:w="687" w:type="dxa"/>
                  <w:tcBorders>
                    <w:tl2br w:val="nil"/>
                    <w:tr2bl w:val="nil"/>
                  </w:tcBorders>
                  <w:vAlign w:val="center"/>
                </w:tcPr>
                <w:p>
                  <w:pPr>
                    <w:pStyle w:val="9"/>
                    <w:numPr>
                      <w:ilvl w:val="0"/>
                      <w:numId w:val="0"/>
                    </w:numPr>
                    <w:jc w:val="center"/>
                    <w:rPr>
                      <w:rFonts w:hint="eastAsia"/>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0" w:type="dxa"/>
                  <w:tcBorders>
                    <w:tl2br w:val="nil"/>
                    <w:tr2bl w:val="nil"/>
                  </w:tcBorders>
                  <w:vAlign w:val="center"/>
                </w:tcPr>
                <w:p>
                  <w:pPr>
                    <w:pStyle w:val="9"/>
                    <w:numPr>
                      <w:ilvl w:val="0"/>
                      <w:numId w:val="0"/>
                    </w:numPr>
                    <w:jc w:val="center"/>
                    <w:rPr>
                      <w:rFonts w:hint="default"/>
                      <w:szCs w:val="21"/>
                      <w:lang w:val="en-US" w:eastAsia="zh-CN"/>
                    </w:rPr>
                  </w:pPr>
                  <w:r>
                    <w:rPr>
                      <w:rFonts w:hint="eastAsia"/>
                      <w:szCs w:val="21"/>
                      <w:lang w:val="en-US" w:eastAsia="zh-CN"/>
                    </w:rPr>
                    <w:t>3</w:t>
                  </w:r>
                </w:p>
              </w:tc>
              <w:tc>
                <w:tcPr>
                  <w:tcW w:w="3410" w:type="dxa"/>
                  <w:tcBorders>
                    <w:tl2br w:val="nil"/>
                    <w:tr2bl w:val="nil"/>
                  </w:tcBorders>
                  <w:vAlign w:val="center"/>
                </w:tcPr>
                <w:p>
                  <w:pPr>
                    <w:pStyle w:val="9"/>
                    <w:numPr>
                      <w:ilvl w:val="0"/>
                      <w:numId w:val="0"/>
                    </w:numPr>
                    <w:jc w:val="left"/>
                    <w:rPr>
                      <w:rFonts w:hint="eastAsia"/>
                      <w:szCs w:val="21"/>
                    </w:rPr>
                  </w:pPr>
                  <w:r>
                    <w:rPr>
                      <w:rFonts w:hint="eastAsia"/>
                      <w:szCs w:val="21"/>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2227" w:type="dxa"/>
                  <w:tcBorders>
                    <w:tl2br w:val="nil"/>
                    <w:tr2bl w:val="nil"/>
                  </w:tcBorders>
                  <w:vAlign w:val="center"/>
                </w:tcPr>
                <w:p>
                  <w:pPr>
                    <w:pStyle w:val="9"/>
                    <w:numPr>
                      <w:ilvl w:val="0"/>
                      <w:numId w:val="0"/>
                    </w:numPr>
                    <w:rPr>
                      <w:rFonts w:hint="eastAsia"/>
                      <w:szCs w:val="21"/>
                    </w:rPr>
                  </w:pPr>
                  <w:r>
                    <w:rPr>
                      <w:rFonts w:hint="eastAsia"/>
                      <w:szCs w:val="21"/>
                    </w:rPr>
                    <w:t>本项目位于江苏省常州市武进国家高新技术产业开发区龙逸路76号，不在饮用水水源一级保护区的岸线和河段范围内和饮用水水源二级保护区的岸线和河段范围内。</w:t>
                  </w:r>
                </w:p>
              </w:tc>
              <w:tc>
                <w:tcPr>
                  <w:tcW w:w="687" w:type="dxa"/>
                  <w:tcBorders>
                    <w:tl2br w:val="nil"/>
                    <w:tr2bl w:val="nil"/>
                  </w:tcBorders>
                  <w:vAlign w:val="center"/>
                </w:tcPr>
                <w:p>
                  <w:pPr>
                    <w:pStyle w:val="9"/>
                    <w:numPr>
                      <w:ilvl w:val="0"/>
                      <w:numId w:val="0"/>
                    </w:numPr>
                    <w:jc w:val="center"/>
                    <w:rPr>
                      <w:rFonts w:hint="eastAsia"/>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0" w:type="dxa"/>
                  <w:tcBorders>
                    <w:tl2br w:val="nil"/>
                    <w:tr2bl w:val="nil"/>
                  </w:tcBorders>
                  <w:vAlign w:val="center"/>
                </w:tcPr>
                <w:p>
                  <w:pPr>
                    <w:pStyle w:val="9"/>
                    <w:numPr>
                      <w:ilvl w:val="0"/>
                      <w:numId w:val="0"/>
                    </w:numPr>
                    <w:jc w:val="center"/>
                    <w:rPr>
                      <w:rFonts w:hint="default"/>
                      <w:szCs w:val="21"/>
                      <w:lang w:val="en-US" w:eastAsia="zh-CN"/>
                    </w:rPr>
                  </w:pPr>
                  <w:r>
                    <w:rPr>
                      <w:rFonts w:hint="eastAsia"/>
                      <w:szCs w:val="21"/>
                      <w:lang w:val="en-US" w:eastAsia="zh-CN"/>
                    </w:rPr>
                    <w:t>4</w:t>
                  </w:r>
                </w:p>
              </w:tc>
              <w:tc>
                <w:tcPr>
                  <w:tcW w:w="3410" w:type="dxa"/>
                  <w:tcBorders>
                    <w:tl2br w:val="nil"/>
                    <w:tr2bl w:val="nil"/>
                  </w:tcBorders>
                  <w:vAlign w:val="center"/>
                </w:tcPr>
                <w:p>
                  <w:pPr>
                    <w:pStyle w:val="9"/>
                    <w:numPr>
                      <w:ilvl w:val="0"/>
                      <w:numId w:val="0"/>
                    </w:numPr>
                    <w:jc w:val="left"/>
                    <w:rPr>
                      <w:rFonts w:hint="eastAsia"/>
                      <w:szCs w:val="21"/>
                    </w:rPr>
                  </w:pPr>
                  <w:r>
                    <w:rPr>
                      <w:rFonts w:hint="eastAsia"/>
                      <w:szCs w:val="21"/>
                    </w:rPr>
                    <w:t>禁止在水产种质资源保护区的岸线和河段范围内新建围湖造田、围海造地或围填海投资建设项目。禁止在国家湿地公园的岸线和河段范围内挖沙、采矿，以及任何不符合主</w:t>
                  </w:r>
                </w:p>
                <w:p>
                  <w:pPr>
                    <w:pStyle w:val="9"/>
                    <w:numPr>
                      <w:ilvl w:val="0"/>
                      <w:numId w:val="0"/>
                    </w:numPr>
                    <w:jc w:val="left"/>
                    <w:rPr>
                      <w:rFonts w:hint="eastAsia"/>
                      <w:szCs w:val="21"/>
                    </w:rPr>
                  </w:pPr>
                  <w:r>
                    <w:rPr>
                      <w:rFonts w:hint="eastAsia"/>
                      <w:szCs w:val="21"/>
                    </w:rPr>
                    <w:t>体功能定位的投资建设项目。</w:t>
                  </w:r>
                </w:p>
              </w:tc>
              <w:tc>
                <w:tcPr>
                  <w:tcW w:w="2227" w:type="dxa"/>
                  <w:tcBorders>
                    <w:tl2br w:val="nil"/>
                    <w:tr2bl w:val="nil"/>
                  </w:tcBorders>
                  <w:vAlign w:val="center"/>
                </w:tcPr>
                <w:p>
                  <w:pPr>
                    <w:pStyle w:val="9"/>
                    <w:numPr>
                      <w:ilvl w:val="0"/>
                      <w:numId w:val="0"/>
                    </w:numPr>
                    <w:rPr>
                      <w:rFonts w:hint="eastAsia"/>
                      <w:szCs w:val="21"/>
                    </w:rPr>
                  </w:pPr>
                  <w:r>
                    <w:rPr>
                      <w:rFonts w:hint="eastAsia"/>
                      <w:szCs w:val="21"/>
                    </w:rPr>
                    <w:t>本项目位于江苏省常州市武进国家高新技术产业开发区龙逸路76号，不在国家级和省级水产种质资源保护区的岸线和河段范围内。</w:t>
                  </w:r>
                </w:p>
              </w:tc>
              <w:tc>
                <w:tcPr>
                  <w:tcW w:w="687" w:type="dxa"/>
                  <w:tcBorders>
                    <w:tl2br w:val="nil"/>
                    <w:tr2bl w:val="nil"/>
                  </w:tcBorders>
                  <w:vAlign w:val="center"/>
                </w:tcPr>
                <w:p>
                  <w:pPr>
                    <w:pStyle w:val="9"/>
                    <w:numPr>
                      <w:ilvl w:val="0"/>
                      <w:numId w:val="0"/>
                    </w:numPr>
                    <w:jc w:val="center"/>
                    <w:rPr>
                      <w:rFonts w:hint="eastAsia"/>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0" w:type="dxa"/>
                  <w:tcBorders>
                    <w:tl2br w:val="nil"/>
                    <w:tr2bl w:val="nil"/>
                  </w:tcBorders>
                  <w:vAlign w:val="center"/>
                </w:tcPr>
                <w:p>
                  <w:pPr>
                    <w:pStyle w:val="9"/>
                    <w:numPr>
                      <w:ilvl w:val="0"/>
                      <w:numId w:val="0"/>
                    </w:numPr>
                    <w:jc w:val="center"/>
                    <w:rPr>
                      <w:rFonts w:hint="default"/>
                      <w:szCs w:val="21"/>
                      <w:lang w:val="en-US" w:eastAsia="zh-CN"/>
                    </w:rPr>
                  </w:pPr>
                  <w:r>
                    <w:rPr>
                      <w:rFonts w:hint="eastAsia"/>
                      <w:szCs w:val="21"/>
                      <w:lang w:val="en-US" w:eastAsia="zh-CN"/>
                    </w:rPr>
                    <w:t>5</w:t>
                  </w:r>
                </w:p>
              </w:tc>
              <w:tc>
                <w:tcPr>
                  <w:tcW w:w="3410" w:type="dxa"/>
                  <w:tcBorders>
                    <w:tl2br w:val="nil"/>
                    <w:tr2bl w:val="nil"/>
                  </w:tcBorders>
                  <w:vAlign w:val="center"/>
                </w:tcPr>
                <w:p>
                  <w:pPr>
                    <w:pStyle w:val="9"/>
                    <w:numPr>
                      <w:ilvl w:val="0"/>
                      <w:numId w:val="0"/>
                    </w:numPr>
                    <w:jc w:val="left"/>
                    <w:rPr>
                      <w:rFonts w:hint="eastAsia"/>
                      <w:szCs w:val="21"/>
                    </w:rPr>
                  </w:pPr>
                  <w:r>
                    <w:rPr>
                      <w:rFonts w:hint="eastAsia"/>
                      <w:szCs w:val="21"/>
                    </w:rPr>
                    <w:t>禁止违法利用、占用长江流域河湖岸线。禁止在《长江岸线保护和开发利用总体规划》划定的岸线保护区和保留区内投资建设除事关公共安全及公众利益的防洪护岸、河道</w:t>
                  </w:r>
                </w:p>
                <w:p>
                  <w:pPr>
                    <w:pStyle w:val="9"/>
                    <w:numPr>
                      <w:ilvl w:val="0"/>
                      <w:numId w:val="0"/>
                    </w:numPr>
                    <w:jc w:val="left"/>
                    <w:rPr>
                      <w:rFonts w:hint="eastAsia"/>
                      <w:szCs w:val="21"/>
                    </w:rPr>
                  </w:pPr>
                  <w:r>
                    <w:rPr>
                      <w:rFonts w:hint="eastAsia"/>
                      <w:szCs w:val="21"/>
                    </w:rPr>
                    <w:t>治理、供水、生态环境保护、航道整治、国家重要基础设施以外的项目。禁止在《全国重要江河湖泊水功能区划》划定的河段及湖泊保护区、保留区内投资建设不利于水资源及自然生态保护的项目。</w:t>
                  </w:r>
                </w:p>
              </w:tc>
              <w:tc>
                <w:tcPr>
                  <w:tcW w:w="2227" w:type="dxa"/>
                  <w:tcBorders>
                    <w:tl2br w:val="nil"/>
                    <w:tr2bl w:val="nil"/>
                  </w:tcBorders>
                  <w:vAlign w:val="center"/>
                </w:tcPr>
                <w:p>
                  <w:pPr>
                    <w:pStyle w:val="9"/>
                    <w:numPr>
                      <w:ilvl w:val="0"/>
                      <w:numId w:val="0"/>
                    </w:numPr>
                    <w:rPr>
                      <w:rFonts w:hint="eastAsia"/>
                      <w:szCs w:val="21"/>
                    </w:rPr>
                  </w:pPr>
                  <w:r>
                    <w:rPr>
                      <w:rFonts w:hint="eastAsia"/>
                      <w:szCs w:val="21"/>
                    </w:rPr>
                    <w:t>本项目位于江苏省常州市武进国家高新技术产业开发区龙逸路76号，不在《长江岸线保护和开发利用总体规划》和生态环境保护、岸线保护区内；不在《全国重要江河湖泊水功能区划》划定的河段保护区、保留区内。</w:t>
                  </w:r>
                </w:p>
              </w:tc>
              <w:tc>
                <w:tcPr>
                  <w:tcW w:w="687" w:type="dxa"/>
                  <w:tcBorders>
                    <w:tl2br w:val="nil"/>
                    <w:tr2bl w:val="nil"/>
                  </w:tcBorders>
                  <w:vAlign w:val="center"/>
                </w:tcPr>
                <w:p>
                  <w:pPr>
                    <w:pStyle w:val="9"/>
                    <w:numPr>
                      <w:ilvl w:val="0"/>
                      <w:numId w:val="0"/>
                    </w:numPr>
                    <w:jc w:val="center"/>
                    <w:rPr>
                      <w:rFonts w:hint="eastAsia"/>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0" w:type="dxa"/>
                  <w:tcBorders>
                    <w:tl2br w:val="nil"/>
                    <w:tr2bl w:val="nil"/>
                  </w:tcBorders>
                  <w:vAlign w:val="center"/>
                </w:tcPr>
                <w:p>
                  <w:pPr>
                    <w:pStyle w:val="9"/>
                    <w:numPr>
                      <w:ilvl w:val="0"/>
                      <w:numId w:val="0"/>
                    </w:numPr>
                    <w:jc w:val="center"/>
                    <w:rPr>
                      <w:rFonts w:hint="default"/>
                      <w:szCs w:val="21"/>
                      <w:lang w:val="en-US" w:eastAsia="zh-CN"/>
                    </w:rPr>
                  </w:pPr>
                  <w:r>
                    <w:rPr>
                      <w:rFonts w:hint="eastAsia"/>
                      <w:szCs w:val="21"/>
                      <w:lang w:val="en-US" w:eastAsia="zh-CN"/>
                    </w:rPr>
                    <w:t>6</w:t>
                  </w:r>
                </w:p>
              </w:tc>
              <w:tc>
                <w:tcPr>
                  <w:tcW w:w="3410" w:type="dxa"/>
                  <w:tcBorders>
                    <w:tl2br w:val="nil"/>
                    <w:tr2bl w:val="nil"/>
                  </w:tcBorders>
                  <w:vAlign w:val="center"/>
                </w:tcPr>
                <w:p>
                  <w:pPr>
                    <w:pStyle w:val="9"/>
                    <w:numPr>
                      <w:ilvl w:val="0"/>
                      <w:numId w:val="0"/>
                    </w:numPr>
                    <w:jc w:val="left"/>
                    <w:rPr>
                      <w:rFonts w:hint="eastAsia"/>
                      <w:szCs w:val="21"/>
                    </w:rPr>
                  </w:pPr>
                  <w:r>
                    <w:rPr>
                      <w:rFonts w:hint="eastAsia"/>
                      <w:szCs w:val="21"/>
                    </w:rPr>
                    <w:t>禁止未经许可在长江干支流及湖泊新设、改设或扩大排污口。</w:t>
                  </w:r>
                </w:p>
              </w:tc>
              <w:tc>
                <w:tcPr>
                  <w:tcW w:w="2227" w:type="dxa"/>
                  <w:tcBorders>
                    <w:tl2br w:val="nil"/>
                    <w:tr2bl w:val="nil"/>
                  </w:tcBorders>
                  <w:vAlign w:val="center"/>
                </w:tcPr>
                <w:p>
                  <w:pPr>
                    <w:pStyle w:val="9"/>
                    <w:numPr>
                      <w:ilvl w:val="0"/>
                      <w:numId w:val="0"/>
                    </w:numPr>
                    <w:rPr>
                      <w:rFonts w:hint="eastAsia" w:eastAsia="宋体"/>
                      <w:szCs w:val="21"/>
                      <w:lang w:val="en-US" w:eastAsia="zh-CN"/>
                    </w:rPr>
                  </w:pPr>
                  <w:r>
                    <w:rPr>
                      <w:rFonts w:hint="eastAsia"/>
                      <w:szCs w:val="21"/>
                    </w:rPr>
                    <w:t>本项目不新增排污口</w:t>
                  </w:r>
                  <w:r>
                    <w:rPr>
                      <w:rFonts w:hint="eastAsia"/>
                      <w:szCs w:val="21"/>
                      <w:lang w:val="en-US" w:eastAsia="zh-CN"/>
                    </w:rPr>
                    <w:t>。</w:t>
                  </w:r>
                </w:p>
              </w:tc>
              <w:tc>
                <w:tcPr>
                  <w:tcW w:w="687" w:type="dxa"/>
                  <w:tcBorders>
                    <w:tl2br w:val="nil"/>
                    <w:tr2bl w:val="nil"/>
                  </w:tcBorders>
                  <w:vAlign w:val="center"/>
                </w:tcPr>
                <w:p>
                  <w:pPr>
                    <w:pStyle w:val="9"/>
                    <w:numPr>
                      <w:ilvl w:val="0"/>
                      <w:numId w:val="0"/>
                    </w:numPr>
                    <w:jc w:val="center"/>
                    <w:rPr>
                      <w:rFonts w:hint="eastAsia"/>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0" w:type="dxa"/>
                  <w:tcBorders>
                    <w:tl2br w:val="nil"/>
                    <w:tr2bl w:val="nil"/>
                  </w:tcBorders>
                  <w:vAlign w:val="center"/>
                </w:tcPr>
                <w:p>
                  <w:pPr>
                    <w:pStyle w:val="9"/>
                    <w:numPr>
                      <w:ilvl w:val="0"/>
                      <w:numId w:val="0"/>
                    </w:numPr>
                    <w:jc w:val="center"/>
                    <w:rPr>
                      <w:rFonts w:hint="default"/>
                      <w:szCs w:val="21"/>
                      <w:lang w:val="en-US" w:eastAsia="zh-CN"/>
                    </w:rPr>
                  </w:pPr>
                  <w:r>
                    <w:rPr>
                      <w:rFonts w:hint="eastAsia"/>
                      <w:szCs w:val="21"/>
                      <w:lang w:val="en-US" w:eastAsia="zh-CN"/>
                    </w:rPr>
                    <w:t>7</w:t>
                  </w:r>
                </w:p>
              </w:tc>
              <w:tc>
                <w:tcPr>
                  <w:tcW w:w="3410" w:type="dxa"/>
                  <w:tcBorders>
                    <w:tl2br w:val="nil"/>
                    <w:tr2bl w:val="nil"/>
                  </w:tcBorders>
                  <w:vAlign w:val="center"/>
                </w:tcPr>
                <w:p>
                  <w:pPr>
                    <w:pStyle w:val="9"/>
                    <w:numPr>
                      <w:ilvl w:val="0"/>
                      <w:numId w:val="0"/>
                    </w:numPr>
                    <w:jc w:val="left"/>
                    <w:rPr>
                      <w:rFonts w:hint="eastAsia"/>
                      <w:szCs w:val="21"/>
                    </w:rPr>
                  </w:pPr>
                  <w:r>
                    <w:rPr>
                      <w:rFonts w:hint="eastAsia"/>
                      <w:szCs w:val="21"/>
                    </w:rPr>
                    <w:t>禁止在“一江一口两湖七河”和332 个水生生物保护区开展生产性捕捞。</w:t>
                  </w:r>
                </w:p>
              </w:tc>
              <w:tc>
                <w:tcPr>
                  <w:tcW w:w="2227" w:type="dxa"/>
                  <w:tcBorders>
                    <w:tl2br w:val="nil"/>
                    <w:tr2bl w:val="nil"/>
                  </w:tcBorders>
                  <w:vAlign w:val="center"/>
                </w:tcPr>
                <w:p>
                  <w:pPr>
                    <w:pStyle w:val="9"/>
                    <w:numPr>
                      <w:ilvl w:val="0"/>
                      <w:numId w:val="0"/>
                    </w:numPr>
                    <w:rPr>
                      <w:rFonts w:hint="eastAsia" w:eastAsia="宋体"/>
                      <w:szCs w:val="21"/>
                      <w:lang w:val="en-US" w:eastAsia="zh-CN"/>
                    </w:rPr>
                  </w:pPr>
                  <w:r>
                    <w:rPr>
                      <w:rFonts w:hint="eastAsia"/>
                      <w:szCs w:val="21"/>
                    </w:rPr>
                    <w:t>本项目不开展生产性捕捞</w:t>
                  </w:r>
                  <w:r>
                    <w:rPr>
                      <w:rFonts w:hint="eastAsia"/>
                      <w:szCs w:val="21"/>
                      <w:lang w:val="en-US" w:eastAsia="zh-CN"/>
                    </w:rPr>
                    <w:t>。</w:t>
                  </w:r>
                </w:p>
              </w:tc>
              <w:tc>
                <w:tcPr>
                  <w:tcW w:w="687" w:type="dxa"/>
                  <w:tcBorders>
                    <w:tl2br w:val="nil"/>
                    <w:tr2bl w:val="nil"/>
                  </w:tcBorders>
                  <w:vAlign w:val="center"/>
                </w:tcPr>
                <w:p>
                  <w:pPr>
                    <w:pStyle w:val="9"/>
                    <w:numPr>
                      <w:ilvl w:val="0"/>
                      <w:numId w:val="0"/>
                    </w:numPr>
                    <w:jc w:val="center"/>
                    <w:rPr>
                      <w:rFonts w:hint="eastAsia"/>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0" w:type="dxa"/>
                  <w:tcBorders>
                    <w:tl2br w:val="nil"/>
                    <w:tr2bl w:val="nil"/>
                  </w:tcBorders>
                  <w:vAlign w:val="center"/>
                </w:tcPr>
                <w:p>
                  <w:pPr>
                    <w:pStyle w:val="9"/>
                    <w:numPr>
                      <w:ilvl w:val="0"/>
                      <w:numId w:val="0"/>
                    </w:numPr>
                    <w:jc w:val="center"/>
                    <w:rPr>
                      <w:rFonts w:hint="default"/>
                      <w:szCs w:val="21"/>
                      <w:lang w:val="en-US" w:eastAsia="zh-CN"/>
                    </w:rPr>
                  </w:pPr>
                  <w:r>
                    <w:rPr>
                      <w:rFonts w:hint="eastAsia"/>
                      <w:szCs w:val="21"/>
                      <w:lang w:val="en-US" w:eastAsia="zh-CN"/>
                    </w:rPr>
                    <w:t>8</w:t>
                  </w:r>
                </w:p>
              </w:tc>
              <w:tc>
                <w:tcPr>
                  <w:tcW w:w="3410" w:type="dxa"/>
                  <w:tcBorders>
                    <w:tl2br w:val="nil"/>
                    <w:tr2bl w:val="nil"/>
                  </w:tcBorders>
                  <w:vAlign w:val="center"/>
                </w:tcPr>
                <w:p>
                  <w:pPr>
                    <w:pStyle w:val="9"/>
                    <w:numPr>
                      <w:ilvl w:val="0"/>
                      <w:numId w:val="0"/>
                    </w:numPr>
                    <w:jc w:val="left"/>
                    <w:rPr>
                      <w:rFonts w:hint="eastAsia"/>
                      <w:szCs w:val="21"/>
                    </w:rPr>
                  </w:pPr>
                  <w:r>
                    <w:rPr>
                      <w:rFonts w:hint="eastAsia"/>
                      <w:szCs w:val="21"/>
                    </w:rPr>
                    <w:t>禁止在长江干支流、重要湖泊岸线一公里范围内新建、扩建化工园区和化工项目。禁止在长江干流岸线三公里范围内和重要支流岸线一公里范围内新建、改建、扩建尾矿库、</w:t>
                  </w:r>
                </w:p>
                <w:p>
                  <w:pPr>
                    <w:pStyle w:val="9"/>
                    <w:numPr>
                      <w:ilvl w:val="0"/>
                      <w:numId w:val="0"/>
                    </w:numPr>
                    <w:jc w:val="left"/>
                    <w:rPr>
                      <w:rFonts w:hint="eastAsia"/>
                      <w:szCs w:val="21"/>
                    </w:rPr>
                  </w:pPr>
                  <w:r>
                    <w:rPr>
                      <w:rFonts w:hint="eastAsia"/>
                      <w:szCs w:val="21"/>
                    </w:rPr>
                    <w:t>冶炼渣库和磷石膏库，以提升安全、生态环境保护水平为目的的改建除外。</w:t>
                  </w:r>
                </w:p>
              </w:tc>
              <w:tc>
                <w:tcPr>
                  <w:tcW w:w="2227" w:type="dxa"/>
                  <w:tcBorders>
                    <w:tl2br w:val="nil"/>
                    <w:tr2bl w:val="nil"/>
                  </w:tcBorders>
                  <w:vAlign w:val="center"/>
                </w:tcPr>
                <w:p>
                  <w:pPr>
                    <w:pStyle w:val="9"/>
                    <w:numPr>
                      <w:ilvl w:val="0"/>
                      <w:numId w:val="0"/>
                    </w:numPr>
                    <w:rPr>
                      <w:rFonts w:hint="default" w:eastAsia="宋体"/>
                      <w:szCs w:val="21"/>
                      <w:lang w:val="en-US" w:eastAsia="zh-CN"/>
                    </w:rPr>
                  </w:pPr>
                  <w:r>
                    <w:rPr>
                      <w:rFonts w:hint="eastAsia"/>
                      <w:szCs w:val="21"/>
                      <w:lang w:val="en-US" w:eastAsia="zh-CN"/>
                    </w:rPr>
                    <w:t>本项目不属于化工项目。</w:t>
                  </w:r>
                </w:p>
              </w:tc>
              <w:tc>
                <w:tcPr>
                  <w:tcW w:w="687" w:type="dxa"/>
                  <w:tcBorders>
                    <w:tl2br w:val="nil"/>
                    <w:tr2bl w:val="nil"/>
                  </w:tcBorders>
                  <w:vAlign w:val="center"/>
                </w:tcPr>
                <w:p>
                  <w:pPr>
                    <w:pStyle w:val="9"/>
                    <w:numPr>
                      <w:ilvl w:val="0"/>
                      <w:numId w:val="0"/>
                    </w:numPr>
                    <w:jc w:val="center"/>
                    <w:rPr>
                      <w:rFonts w:hint="eastAsia"/>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0" w:type="dxa"/>
                  <w:tcBorders>
                    <w:tl2br w:val="nil"/>
                    <w:tr2bl w:val="nil"/>
                  </w:tcBorders>
                  <w:vAlign w:val="center"/>
                </w:tcPr>
                <w:p>
                  <w:pPr>
                    <w:pStyle w:val="9"/>
                    <w:numPr>
                      <w:ilvl w:val="0"/>
                      <w:numId w:val="0"/>
                    </w:numPr>
                    <w:jc w:val="center"/>
                    <w:rPr>
                      <w:rFonts w:hint="default"/>
                      <w:szCs w:val="21"/>
                      <w:lang w:val="en-US" w:eastAsia="zh-CN"/>
                    </w:rPr>
                  </w:pPr>
                  <w:r>
                    <w:rPr>
                      <w:rFonts w:hint="eastAsia"/>
                      <w:szCs w:val="21"/>
                      <w:lang w:val="en-US" w:eastAsia="zh-CN"/>
                    </w:rPr>
                    <w:t>9</w:t>
                  </w:r>
                </w:p>
              </w:tc>
              <w:tc>
                <w:tcPr>
                  <w:tcW w:w="3410" w:type="dxa"/>
                  <w:tcBorders>
                    <w:tl2br w:val="nil"/>
                    <w:tr2bl w:val="nil"/>
                  </w:tcBorders>
                  <w:vAlign w:val="center"/>
                </w:tcPr>
                <w:p>
                  <w:pPr>
                    <w:pStyle w:val="9"/>
                    <w:numPr>
                      <w:ilvl w:val="0"/>
                      <w:numId w:val="0"/>
                    </w:numPr>
                    <w:jc w:val="left"/>
                    <w:rPr>
                      <w:rFonts w:hint="eastAsia"/>
                      <w:szCs w:val="21"/>
                    </w:rPr>
                  </w:pPr>
                  <w:r>
                    <w:rPr>
                      <w:rFonts w:hint="eastAsia"/>
                      <w:szCs w:val="21"/>
                    </w:rPr>
                    <w:t>禁止在合规园区外新建、扩建钢铁、石化、化工、焦化、建材、有色、制浆造纸等高污染项目。</w:t>
                  </w:r>
                </w:p>
              </w:tc>
              <w:tc>
                <w:tcPr>
                  <w:tcW w:w="2227" w:type="dxa"/>
                  <w:tcBorders>
                    <w:tl2br w:val="nil"/>
                    <w:tr2bl w:val="nil"/>
                  </w:tcBorders>
                  <w:vAlign w:val="center"/>
                </w:tcPr>
                <w:p>
                  <w:pPr>
                    <w:pStyle w:val="9"/>
                    <w:numPr>
                      <w:ilvl w:val="0"/>
                      <w:numId w:val="0"/>
                    </w:numPr>
                    <w:rPr>
                      <w:rFonts w:hint="default" w:eastAsia="宋体"/>
                      <w:szCs w:val="21"/>
                      <w:lang w:val="en-US" w:eastAsia="zh-CN"/>
                    </w:rPr>
                  </w:pPr>
                  <w:r>
                    <w:rPr>
                      <w:rFonts w:hint="eastAsia"/>
                      <w:szCs w:val="21"/>
                      <w:lang w:val="en-US" w:eastAsia="zh-CN"/>
                    </w:rPr>
                    <w:t>本项目不属于高污染项目。</w:t>
                  </w:r>
                </w:p>
              </w:tc>
              <w:tc>
                <w:tcPr>
                  <w:tcW w:w="687" w:type="dxa"/>
                  <w:tcBorders>
                    <w:tl2br w:val="nil"/>
                    <w:tr2bl w:val="nil"/>
                  </w:tcBorders>
                  <w:vAlign w:val="center"/>
                </w:tcPr>
                <w:p>
                  <w:pPr>
                    <w:pStyle w:val="9"/>
                    <w:numPr>
                      <w:ilvl w:val="0"/>
                      <w:numId w:val="0"/>
                    </w:numPr>
                    <w:jc w:val="center"/>
                    <w:rPr>
                      <w:rFonts w:hint="eastAsia"/>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0" w:type="dxa"/>
                  <w:tcBorders>
                    <w:tl2br w:val="nil"/>
                    <w:tr2bl w:val="nil"/>
                  </w:tcBorders>
                  <w:vAlign w:val="center"/>
                </w:tcPr>
                <w:p>
                  <w:pPr>
                    <w:pStyle w:val="9"/>
                    <w:numPr>
                      <w:ilvl w:val="0"/>
                      <w:numId w:val="0"/>
                    </w:numPr>
                    <w:jc w:val="center"/>
                    <w:rPr>
                      <w:rFonts w:hint="default"/>
                      <w:szCs w:val="21"/>
                      <w:lang w:val="en-US" w:eastAsia="zh-CN"/>
                    </w:rPr>
                  </w:pPr>
                  <w:r>
                    <w:rPr>
                      <w:rFonts w:hint="eastAsia"/>
                      <w:szCs w:val="21"/>
                      <w:lang w:val="en-US" w:eastAsia="zh-CN"/>
                    </w:rPr>
                    <w:t>10</w:t>
                  </w:r>
                </w:p>
              </w:tc>
              <w:tc>
                <w:tcPr>
                  <w:tcW w:w="3410" w:type="dxa"/>
                  <w:tcBorders>
                    <w:tl2br w:val="nil"/>
                    <w:tr2bl w:val="nil"/>
                  </w:tcBorders>
                  <w:vAlign w:val="center"/>
                </w:tcPr>
                <w:p>
                  <w:pPr>
                    <w:pStyle w:val="9"/>
                    <w:numPr>
                      <w:ilvl w:val="0"/>
                      <w:numId w:val="0"/>
                    </w:numPr>
                    <w:jc w:val="left"/>
                    <w:rPr>
                      <w:rFonts w:hint="eastAsia"/>
                      <w:szCs w:val="21"/>
                    </w:rPr>
                  </w:pPr>
                  <w:r>
                    <w:rPr>
                      <w:rFonts w:hint="eastAsia"/>
                      <w:szCs w:val="21"/>
                    </w:rPr>
                    <w:t>禁止新建、扩建不符合国家石化、现代煤化工等产业布局规划的目。</w:t>
                  </w:r>
                </w:p>
              </w:tc>
              <w:tc>
                <w:tcPr>
                  <w:tcW w:w="2227" w:type="dxa"/>
                  <w:tcBorders>
                    <w:tl2br w:val="nil"/>
                    <w:tr2bl w:val="nil"/>
                  </w:tcBorders>
                  <w:vAlign w:val="center"/>
                </w:tcPr>
                <w:p>
                  <w:pPr>
                    <w:pStyle w:val="9"/>
                    <w:numPr>
                      <w:ilvl w:val="0"/>
                      <w:numId w:val="0"/>
                    </w:numPr>
                    <w:ind w:left="0" w:leftChars="0" w:firstLine="0" w:firstLineChars="0"/>
                    <w:rPr>
                      <w:rFonts w:hint="eastAsia"/>
                      <w:szCs w:val="21"/>
                    </w:rPr>
                  </w:pPr>
                  <w:r>
                    <w:rPr>
                      <w:rFonts w:hint="eastAsia"/>
                      <w:szCs w:val="21"/>
                      <w:lang w:val="en-US" w:eastAsia="zh-CN"/>
                    </w:rPr>
                    <w:t>本项目不属于国家石化、现代煤化工项目。</w:t>
                  </w:r>
                </w:p>
              </w:tc>
              <w:tc>
                <w:tcPr>
                  <w:tcW w:w="687" w:type="dxa"/>
                  <w:tcBorders>
                    <w:tl2br w:val="nil"/>
                    <w:tr2bl w:val="nil"/>
                  </w:tcBorders>
                  <w:vAlign w:val="center"/>
                </w:tcPr>
                <w:p>
                  <w:pPr>
                    <w:pStyle w:val="9"/>
                    <w:numPr>
                      <w:ilvl w:val="0"/>
                      <w:numId w:val="0"/>
                    </w:numPr>
                    <w:ind w:left="0" w:leftChars="0" w:firstLine="0" w:firstLineChars="0"/>
                    <w:jc w:val="center"/>
                    <w:rPr>
                      <w:rFonts w:hint="eastAsia"/>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0" w:type="dxa"/>
                  <w:tcBorders>
                    <w:tl2br w:val="nil"/>
                    <w:tr2bl w:val="nil"/>
                  </w:tcBorders>
                  <w:vAlign w:val="center"/>
                </w:tcPr>
                <w:p>
                  <w:pPr>
                    <w:pStyle w:val="9"/>
                    <w:numPr>
                      <w:ilvl w:val="0"/>
                      <w:numId w:val="0"/>
                    </w:numPr>
                    <w:jc w:val="center"/>
                    <w:rPr>
                      <w:rFonts w:hint="default"/>
                      <w:szCs w:val="21"/>
                      <w:lang w:val="en-US" w:eastAsia="zh-CN"/>
                    </w:rPr>
                  </w:pPr>
                  <w:r>
                    <w:rPr>
                      <w:rFonts w:hint="eastAsia"/>
                      <w:szCs w:val="21"/>
                      <w:lang w:val="en-US" w:eastAsia="zh-CN"/>
                    </w:rPr>
                    <w:t>11</w:t>
                  </w:r>
                </w:p>
              </w:tc>
              <w:tc>
                <w:tcPr>
                  <w:tcW w:w="3410" w:type="dxa"/>
                  <w:tcBorders>
                    <w:tl2br w:val="nil"/>
                    <w:tr2bl w:val="nil"/>
                  </w:tcBorders>
                  <w:vAlign w:val="center"/>
                </w:tcPr>
                <w:p>
                  <w:pPr>
                    <w:pStyle w:val="9"/>
                    <w:numPr>
                      <w:ilvl w:val="0"/>
                      <w:numId w:val="0"/>
                    </w:numPr>
                    <w:jc w:val="left"/>
                    <w:rPr>
                      <w:rFonts w:hint="eastAsia"/>
                      <w:szCs w:val="21"/>
                    </w:rPr>
                  </w:pPr>
                  <w:r>
                    <w:rPr>
                      <w:rFonts w:hint="eastAsia"/>
                      <w:szCs w:val="21"/>
                    </w:rPr>
                    <w:t>禁止新建、扩建法律法规和相关政策明令禁止的落后产能项目。禁止新建、扩建不符合国家产能置换要求的严重过剩产能行业的项目。禁止新建、扩建不符合要求的高能耗</w:t>
                  </w:r>
                </w:p>
                <w:p>
                  <w:pPr>
                    <w:pStyle w:val="9"/>
                    <w:numPr>
                      <w:ilvl w:val="0"/>
                      <w:numId w:val="0"/>
                    </w:numPr>
                    <w:jc w:val="left"/>
                    <w:rPr>
                      <w:rFonts w:hint="eastAsia"/>
                      <w:szCs w:val="21"/>
                    </w:rPr>
                  </w:pPr>
                  <w:r>
                    <w:rPr>
                      <w:rFonts w:hint="eastAsia"/>
                      <w:szCs w:val="21"/>
                    </w:rPr>
                    <w:t>高排放项目。</w:t>
                  </w:r>
                </w:p>
              </w:tc>
              <w:tc>
                <w:tcPr>
                  <w:tcW w:w="2227" w:type="dxa"/>
                  <w:tcBorders>
                    <w:tl2br w:val="nil"/>
                    <w:tr2bl w:val="nil"/>
                  </w:tcBorders>
                  <w:vAlign w:val="center"/>
                </w:tcPr>
                <w:p>
                  <w:pPr>
                    <w:pStyle w:val="9"/>
                    <w:numPr>
                      <w:ilvl w:val="0"/>
                      <w:numId w:val="0"/>
                    </w:numPr>
                    <w:rPr>
                      <w:rFonts w:hint="eastAsia"/>
                      <w:szCs w:val="21"/>
                    </w:rPr>
                  </w:pPr>
                  <w:r>
                    <w:rPr>
                      <w:rFonts w:hint="eastAsia"/>
                      <w:szCs w:val="21"/>
                    </w:rPr>
                    <w:t>本项目不属于落后产能、过剩产能项目，不属于高能耗高排放项目。</w:t>
                  </w:r>
                </w:p>
              </w:tc>
              <w:tc>
                <w:tcPr>
                  <w:tcW w:w="687" w:type="dxa"/>
                  <w:tcBorders>
                    <w:tl2br w:val="nil"/>
                    <w:tr2bl w:val="nil"/>
                  </w:tcBorders>
                  <w:vAlign w:val="center"/>
                </w:tcPr>
                <w:p>
                  <w:pPr>
                    <w:pStyle w:val="9"/>
                    <w:numPr>
                      <w:ilvl w:val="0"/>
                      <w:numId w:val="0"/>
                    </w:numPr>
                    <w:jc w:val="center"/>
                    <w:rPr>
                      <w:rFonts w:hint="eastAsia"/>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70" w:type="dxa"/>
                  <w:tcBorders>
                    <w:tl2br w:val="nil"/>
                    <w:tr2bl w:val="nil"/>
                  </w:tcBorders>
                  <w:vAlign w:val="center"/>
                </w:tcPr>
                <w:p>
                  <w:pPr>
                    <w:pStyle w:val="9"/>
                    <w:numPr>
                      <w:ilvl w:val="0"/>
                      <w:numId w:val="0"/>
                    </w:numPr>
                    <w:jc w:val="center"/>
                    <w:rPr>
                      <w:rFonts w:hint="default"/>
                      <w:szCs w:val="21"/>
                      <w:lang w:val="en-US" w:eastAsia="zh-CN"/>
                    </w:rPr>
                  </w:pPr>
                  <w:r>
                    <w:rPr>
                      <w:rFonts w:hint="eastAsia"/>
                      <w:szCs w:val="21"/>
                      <w:lang w:val="en-US" w:eastAsia="zh-CN"/>
                    </w:rPr>
                    <w:t>12</w:t>
                  </w:r>
                </w:p>
              </w:tc>
              <w:tc>
                <w:tcPr>
                  <w:tcW w:w="3410" w:type="dxa"/>
                  <w:tcBorders>
                    <w:tl2br w:val="nil"/>
                    <w:tr2bl w:val="nil"/>
                  </w:tcBorders>
                  <w:vAlign w:val="center"/>
                </w:tcPr>
                <w:p>
                  <w:pPr>
                    <w:pStyle w:val="9"/>
                    <w:numPr>
                      <w:ilvl w:val="0"/>
                      <w:numId w:val="0"/>
                    </w:numPr>
                    <w:jc w:val="left"/>
                    <w:rPr>
                      <w:rFonts w:hint="eastAsia"/>
                      <w:szCs w:val="21"/>
                    </w:rPr>
                  </w:pPr>
                  <w:r>
                    <w:rPr>
                      <w:rFonts w:hint="eastAsia"/>
                      <w:szCs w:val="21"/>
                    </w:rPr>
                    <w:t>法律法规及相关政策文件有更加严格规定的从其规定。</w:t>
                  </w:r>
                </w:p>
              </w:tc>
              <w:tc>
                <w:tcPr>
                  <w:tcW w:w="2227" w:type="dxa"/>
                  <w:tcBorders>
                    <w:tl2br w:val="nil"/>
                    <w:tr2bl w:val="nil"/>
                  </w:tcBorders>
                  <w:vAlign w:val="center"/>
                </w:tcPr>
                <w:p>
                  <w:pPr>
                    <w:pStyle w:val="9"/>
                    <w:numPr>
                      <w:ilvl w:val="0"/>
                      <w:numId w:val="0"/>
                    </w:numPr>
                    <w:rPr>
                      <w:rFonts w:hint="eastAsia"/>
                      <w:szCs w:val="21"/>
                    </w:rPr>
                  </w:pPr>
                  <w:r>
                    <w:rPr>
                      <w:rFonts w:hint="eastAsia"/>
                      <w:szCs w:val="21"/>
                    </w:rPr>
                    <w:t>本项目符合法律法规及相关政策文件。</w:t>
                  </w:r>
                </w:p>
              </w:tc>
              <w:tc>
                <w:tcPr>
                  <w:tcW w:w="687" w:type="dxa"/>
                  <w:tcBorders>
                    <w:tl2br w:val="nil"/>
                    <w:tr2bl w:val="nil"/>
                  </w:tcBorders>
                  <w:vAlign w:val="center"/>
                </w:tcPr>
                <w:p>
                  <w:pPr>
                    <w:pStyle w:val="9"/>
                    <w:numPr>
                      <w:ilvl w:val="0"/>
                      <w:numId w:val="0"/>
                    </w:numPr>
                    <w:jc w:val="center"/>
                    <w:rPr>
                      <w:rFonts w:hint="eastAsia"/>
                      <w:szCs w:val="21"/>
                    </w:rPr>
                  </w:pPr>
                  <w:r>
                    <w:rPr>
                      <w:rFonts w:hint="eastAsia"/>
                      <w:szCs w:val="21"/>
                    </w:rPr>
                    <w:t>相符</w:t>
                  </w:r>
                </w:p>
              </w:tc>
            </w:tr>
          </w:tbl>
          <w:p>
            <w:pPr>
              <w:pStyle w:val="9"/>
              <w:numPr>
                <w:ilvl w:val="0"/>
                <w:numId w:val="0"/>
              </w:numPr>
              <w:spacing w:line="360" w:lineRule="auto"/>
              <w:ind w:firstLine="420" w:firstLineChars="200"/>
              <w:jc w:val="left"/>
              <w:rPr>
                <w:rFonts w:hint="eastAsia" w:ascii="Times New Roman" w:hAnsi="Times New Roman" w:cs="Times New Roman"/>
                <w:szCs w:val="21"/>
              </w:rPr>
            </w:pPr>
            <w:r>
              <w:rPr>
                <w:rFonts w:hint="eastAsia" w:ascii="Times New Roman" w:hAnsi="Times New Roman" w:cs="Times New Roman"/>
                <w:szCs w:val="21"/>
              </w:rPr>
              <w:t>本项目从事</w:t>
            </w:r>
            <w:r>
              <w:rPr>
                <w:rFonts w:hint="eastAsia" w:ascii="Times New Roman" w:hAnsi="Times New Roman" w:cs="Times New Roman"/>
                <w:szCs w:val="21"/>
                <w:lang w:eastAsia="zh-CN"/>
              </w:rPr>
              <w:t>塑料薄膜</w:t>
            </w:r>
            <w:r>
              <w:rPr>
                <w:rFonts w:hint="eastAsia" w:ascii="Times New Roman" w:hAnsi="Times New Roman" w:cs="Times New Roman"/>
                <w:szCs w:val="21"/>
              </w:rPr>
              <w:t>生产，不在生态红线范围内，不在饮用水源保护区，不涉及港口，且不涉及钢铁、石油、化工等高污染行业，因此符合《长江经济带发展负面清单指南（试行）2022 年版》的相关要求，不属于所在产业园禁止引入的项目类别。</w:t>
            </w:r>
          </w:p>
          <w:p>
            <w:pPr>
              <w:pStyle w:val="9"/>
              <w:numPr>
                <w:ilvl w:val="0"/>
                <w:numId w:val="0"/>
              </w:numPr>
              <w:spacing w:line="360" w:lineRule="auto"/>
              <w:ind w:firstLine="420" w:firstLineChars="200"/>
              <w:jc w:val="left"/>
              <w:rPr>
                <w:rFonts w:hint="eastAsia" w:ascii="Times New Roman" w:hAnsi="Times New Roman" w:cs="Times New Roman"/>
                <w:szCs w:val="21"/>
              </w:rPr>
            </w:pPr>
          </w:p>
          <w:p>
            <w:pPr>
              <w:pStyle w:val="9"/>
              <w:numPr>
                <w:ilvl w:val="0"/>
                <w:numId w:val="0"/>
              </w:numPr>
              <w:spacing w:line="360" w:lineRule="auto"/>
              <w:ind w:firstLine="420" w:firstLineChars="200"/>
              <w:jc w:val="left"/>
              <w:rPr>
                <w:rFonts w:hint="eastAsia" w:ascii="Times New Roman" w:hAnsi="Times New Roman" w:cs="Times New Roman"/>
                <w:szCs w:val="21"/>
              </w:rPr>
            </w:pPr>
          </w:p>
          <w:p>
            <w:pPr>
              <w:pStyle w:val="9"/>
              <w:numPr>
                <w:ilvl w:val="0"/>
                <w:numId w:val="0"/>
              </w:numPr>
              <w:spacing w:line="360" w:lineRule="auto"/>
              <w:ind w:firstLine="422" w:firstLineChars="200"/>
              <w:rPr>
                <w:b/>
                <w:bCs/>
                <w:szCs w:val="21"/>
              </w:rPr>
            </w:pPr>
            <w:r>
              <w:rPr>
                <w:rFonts w:hint="eastAsia"/>
                <w:b/>
                <w:bCs/>
                <w:szCs w:val="21"/>
                <w:lang w:val="en-US" w:eastAsia="zh-CN"/>
              </w:rPr>
              <w:t>6</w:t>
            </w:r>
            <w:r>
              <w:rPr>
                <w:b/>
                <w:bCs/>
                <w:szCs w:val="21"/>
              </w:rPr>
              <w:t>、</w:t>
            </w:r>
            <w:r>
              <w:rPr>
                <w:rFonts w:hint="eastAsia"/>
                <w:b/>
                <w:bCs/>
                <w:szCs w:val="21"/>
              </w:rPr>
              <w:t>与其他环保法律法规及政策要求的相符性分析</w:t>
            </w:r>
          </w:p>
          <w:p>
            <w:pPr>
              <w:pStyle w:val="9"/>
              <w:numPr>
                <w:ilvl w:val="0"/>
                <w:numId w:val="0"/>
              </w:numPr>
              <w:spacing w:line="360" w:lineRule="auto"/>
              <w:jc w:val="center"/>
              <w:rPr>
                <w:b/>
                <w:bCs/>
                <w:szCs w:val="21"/>
              </w:rPr>
            </w:pPr>
            <w:r>
              <w:rPr>
                <w:rFonts w:hint="eastAsia"/>
                <w:b/>
                <w:bCs/>
                <w:szCs w:val="21"/>
              </w:rPr>
              <w:t>表1-</w:t>
            </w:r>
            <w:r>
              <w:rPr>
                <w:rFonts w:hint="eastAsia"/>
                <w:b/>
                <w:bCs/>
                <w:szCs w:val="21"/>
                <w:lang w:val="en-US" w:eastAsia="zh-CN"/>
              </w:rPr>
              <w:t>10</w:t>
            </w:r>
            <w:r>
              <w:rPr>
                <w:rFonts w:hint="eastAsia"/>
                <w:b/>
                <w:bCs/>
                <w:szCs w:val="21"/>
              </w:rPr>
              <w:t xml:space="preserve"> 其他法律法规及政策要求相符性分析</w:t>
            </w:r>
          </w:p>
          <w:tbl>
            <w:tblPr>
              <w:tblStyle w:val="22"/>
              <w:tblW w:w="699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413"/>
              <w:gridCol w:w="2025"/>
              <w:gridCol w:w="7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l2br w:val="nil"/>
                    <w:tr2bl w:val="nil"/>
                  </w:tcBorders>
                  <w:vAlign w:val="center"/>
                </w:tcPr>
                <w:p>
                  <w:pPr>
                    <w:pStyle w:val="9"/>
                    <w:numPr>
                      <w:ilvl w:val="0"/>
                      <w:numId w:val="0"/>
                    </w:numPr>
                    <w:jc w:val="center"/>
                    <w:rPr>
                      <w:szCs w:val="21"/>
                    </w:rPr>
                  </w:pPr>
                  <w:r>
                    <w:rPr>
                      <w:rFonts w:hint="eastAsia"/>
                      <w:szCs w:val="21"/>
                    </w:rPr>
                    <w:t>类别</w:t>
                  </w:r>
                </w:p>
              </w:tc>
              <w:tc>
                <w:tcPr>
                  <w:tcW w:w="3413" w:type="dxa"/>
                  <w:tcBorders>
                    <w:tl2br w:val="nil"/>
                    <w:tr2bl w:val="nil"/>
                  </w:tcBorders>
                  <w:vAlign w:val="center"/>
                </w:tcPr>
                <w:p>
                  <w:pPr>
                    <w:pStyle w:val="9"/>
                    <w:numPr>
                      <w:ilvl w:val="0"/>
                      <w:numId w:val="0"/>
                    </w:numPr>
                    <w:jc w:val="center"/>
                    <w:rPr>
                      <w:szCs w:val="21"/>
                    </w:rPr>
                  </w:pPr>
                  <w:r>
                    <w:rPr>
                      <w:rFonts w:hint="eastAsia"/>
                      <w:szCs w:val="21"/>
                    </w:rPr>
                    <w:t>相关内容</w:t>
                  </w:r>
                </w:p>
              </w:tc>
              <w:tc>
                <w:tcPr>
                  <w:tcW w:w="2025" w:type="dxa"/>
                  <w:tcBorders>
                    <w:tl2br w:val="nil"/>
                    <w:tr2bl w:val="nil"/>
                  </w:tcBorders>
                  <w:vAlign w:val="center"/>
                </w:tcPr>
                <w:p>
                  <w:pPr>
                    <w:pStyle w:val="9"/>
                    <w:numPr>
                      <w:ilvl w:val="0"/>
                      <w:numId w:val="0"/>
                    </w:numPr>
                    <w:jc w:val="center"/>
                    <w:rPr>
                      <w:szCs w:val="21"/>
                    </w:rPr>
                  </w:pPr>
                  <w:r>
                    <w:rPr>
                      <w:rFonts w:hint="eastAsia"/>
                      <w:szCs w:val="21"/>
                    </w:rPr>
                    <w:t>本项目</w:t>
                  </w:r>
                </w:p>
              </w:tc>
              <w:tc>
                <w:tcPr>
                  <w:tcW w:w="704" w:type="dxa"/>
                  <w:tcBorders>
                    <w:tl2br w:val="nil"/>
                    <w:tr2bl w:val="nil"/>
                  </w:tcBorders>
                  <w:vAlign w:val="center"/>
                </w:tcPr>
                <w:p>
                  <w:pPr>
                    <w:pStyle w:val="9"/>
                    <w:numPr>
                      <w:ilvl w:val="0"/>
                      <w:numId w:val="0"/>
                    </w:numPr>
                    <w:jc w:val="center"/>
                    <w:rPr>
                      <w:szCs w:val="21"/>
                    </w:rPr>
                  </w:pPr>
                  <w:r>
                    <w:rPr>
                      <w:rFonts w:hint="eastAsia"/>
                      <w:szCs w:val="21"/>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l2br w:val="nil"/>
                    <w:tr2bl w:val="nil"/>
                  </w:tcBorders>
                  <w:vAlign w:val="center"/>
                </w:tcPr>
                <w:p>
                  <w:pPr>
                    <w:pStyle w:val="9"/>
                    <w:numPr>
                      <w:ilvl w:val="0"/>
                      <w:numId w:val="0"/>
                    </w:numPr>
                    <w:jc w:val="center"/>
                    <w:rPr>
                      <w:szCs w:val="21"/>
                    </w:rPr>
                  </w:pPr>
                  <w:r>
                    <w:rPr>
                      <w:rFonts w:hint="eastAsia"/>
                      <w:szCs w:val="21"/>
                    </w:rPr>
                    <w:t>《太湖流域管理条例》</w:t>
                  </w:r>
                </w:p>
              </w:tc>
              <w:tc>
                <w:tcPr>
                  <w:tcW w:w="3413" w:type="dxa"/>
                  <w:tcBorders>
                    <w:tl2br w:val="nil"/>
                    <w:tr2bl w:val="nil"/>
                  </w:tcBorders>
                  <w:vAlign w:val="center"/>
                </w:tcPr>
                <w:p>
                  <w:pPr>
                    <w:pStyle w:val="9"/>
                    <w:numPr>
                      <w:ilvl w:val="0"/>
                      <w:numId w:val="0"/>
                    </w:numPr>
                    <w:jc w:val="left"/>
                    <w:rPr>
                      <w:szCs w:val="21"/>
                    </w:rPr>
                  </w:pPr>
                  <w:r>
                    <w:rPr>
                      <w:rFonts w:hint="eastAsia"/>
                      <w:szCs w:val="21"/>
                    </w:rPr>
                    <w:t>根据《太湖流域管理条例》第四章“第二十八条”禁止在太湖流域设置不符合国家产业政策和水环境综合治理要求的造纸、制革、酒精、淀粉、冶金、酿造、印染、电镀等排放水污染物的生产项目，现有的生产项目不能实现达标排放的，应当依法关闭。</w:t>
                  </w:r>
                </w:p>
                <w:p>
                  <w:pPr>
                    <w:pStyle w:val="9"/>
                    <w:numPr>
                      <w:ilvl w:val="0"/>
                      <w:numId w:val="0"/>
                    </w:numPr>
                    <w:jc w:val="left"/>
                    <w:rPr>
                      <w:szCs w:val="21"/>
                    </w:rPr>
                  </w:pPr>
                  <w:r>
                    <w:rPr>
                      <w:rFonts w:hint="eastAsia"/>
                      <w:szCs w:val="21"/>
                    </w:rPr>
                    <w:t>在太湖流域新设企业应当符合国家规定的清洁生产要求，现有的企业尚未达到清洁生产要求的，应当按照清洁生产规划要求进行技术改造，两省一市人民政府应当加强监督检查。“第二十九条”新孟河、望虞河以外的其他主要入太湖河道，自河口1万米上溯至5万米河道岸线内及其岸线两侧各1000米范围内，禁止下列行为：新建、扩建化工、医药生产项目；新建、扩建污水集中处理设施排污口以外的排污口；扩大水产养殖规模。“第三十条”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设置剧毒物质、危险化学品的贮存、输送设施和废物回收场、垃圾场；设置水上餐饮经营设施；新建、扩建高尔夫球场；新建、扩建畜禽养殖场；新建、扩建向水体排放污染物的建设项目；</w:t>
                  </w:r>
                </w:p>
                <w:p>
                  <w:pPr>
                    <w:pStyle w:val="9"/>
                    <w:numPr>
                      <w:ilvl w:val="0"/>
                      <w:numId w:val="0"/>
                    </w:numPr>
                    <w:jc w:val="left"/>
                    <w:rPr>
                      <w:szCs w:val="21"/>
                    </w:rPr>
                  </w:pPr>
                  <w:r>
                    <w:rPr>
                      <w:rFonts w:hint="eastAsia"/>
                      <w:szCs w:val="21"/>
                    </w:rPr>
                    <w:t>本条例第二十九条规定的行为。已经设置前款第一项、第二项规定设施的，当地县级人民政府应当责令拆除或者关闭。</w:t>
                  </w:r>
                </w:p>
              </w:tc>
              <w:tc>
                <w:tcPr>
                  <w:tcW w:w="2025" w:type="dxa"/>
                  <w:tcBorders>
                    <w:tl2br w:val="nil"/>
                    <w:tr2bl w:val="nil"/>
                  </w:tcBorders>
                  <w:vAlign w:val="center"/>
                </w:tcPr>
                <w:p>
                  <w:pPr>
                    <w:pStyle w:val="9"/>
                    <w:numPr>
                      <w:ilvl w:val="0"/>
                      <w:numId w:val="0"/>
                    </w:numPr>
                    <w:jc w:val="left"/>
                    <w:rPr>
                      <w:szCs w:val="21"/>
                    </w:rPr>
                  </w:pPr>
                  <w:r>
                    <w:rPr>
                      <w:rFonts w:hint="eastAsia"/>
                      <w:szCs w:val="21"/>
                    </w:rPr>
                    <w:t>对照《太湖流域管理条例》第二十八条，本项目为“</w:t>
                  </w:r>
                  <w:r>
                    <w:rPr>
                      <w:rFonts w:hint="eastAsia"/>
                      <w:szCs w:val="21"/>
                      <w:lang w:eastAsia="zh-CN"/>
                    </w:rPr>
                    <w:t>C2921塑料薄膜制造</w:t>
                  </w:r>
                  <w:r>
                    <w:rPr>
                      <w:rFonts w:hint="eastAsia"/>
                      <w:szCs w:val="21"/>
                    </w:rPr>
                    <w:t>”类项目，符合国家产业政策和水环境综合治理要求；清洁生产水平符合国家要求。故本项目建设符合《太湖流域管理条例》第二十八条要求。对照《太湖流域管理条例》第二十九条和第三十条，本项目为 “</w:t>
                  </w:r>
                  <w:r>
                    <w:rPr>
                      <w:rFonts w:hint="eastAsia"/>
                      <w:szCs w:val="21"/>
                      <w:lang w:eastAsia="zh-CN"/>
                    </w:rPr>
                    <w:t>C2921塑料薄膜制造</w:t>
                  </w:r>
                  <w:r>
                    <w:rPr>
                      <w:rFonts w:hint="eastAsia"/>
                      <w:szCs w:val="21"/>
                    </w:rPr>
                    <w:t>”类项目，本项目无</w:t>
                  </w:r>
                  <w:r>
                    <w:rPr>
                      <w:rFonts w:hint="eastAsia"/>
                      <w:szCs w:val="21"/>
                      <w:lang w:val="en-US" w:eastAsia="zh-CN"/>
                    </w:rPr>
                    <w:t>生产</w:t>
                  </w:r>
                  <w:r>
                    <w:rPr>
                      <w:rFonts w:hint="eastAsia"/>
                      <w:szCs w:val="21"/>
                    </w:rPr>
                    <w:t>废水产生，员工生活污水接管至武南污水处理厂集中处理，各类固废合理处置，不外排。不属于上述禁止类项目。</w:t>
                  </w:r>
                </w:p>
              </w:tc>
              <w:tc>
                <w:tcPr>
                  <w:tcW w:w="704" w:type="dxa"/>
                  <w:tcBorders>
                    <w:tl2br w:val="nil"/>
                    <w:tr2bl w:val="nil"/>
                  </w:tcBorders>
                  <w:vAlign w:val="center"/>
                </w:tcPr>
                <w:p>
                  <w:pPr>
                    <w:pStyle w:val="9"/>
                    <w:numPr>
                      <w:ilvl w:val="0"/>
                      <w:numId w:val="0"/>
                    </w:numPr>
                    <w:jc w:val="center"/>
                    <w:rPr>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l2br w:val="nil"/>
                    <w:tr2bl w:val="nil"/>
                  </w:tcBorders>
                  <w:vAlign w:val="center"/>
                </w:tcPr>
                <w:p>
                  <w:pPr>
                    <w:pStyle w:val="9"/>
                    <w:numPr>
                      <w:ilvl w:val="0"/>
                      <w:numId w:val="0"/>
                    </w:numPr>
                    <w:jc w:val="center"/>
                    <w:rPr>
                      <w:szCs w:val="21"/>
                    </w:rPr>
                  </w:pPr>
                  <w:r>
                    <w:rPr>
                      <w:rFonts w:hint="eastAsia"/>
                      <w:szCs w:val="21"/>
                    </w:rPr>
                    <w:t>《江苏省太湖水污染防治条例》</w:t>
                  </w:r>
                </w:p>
              </w:tc>
              <w:tc>
                <w:tcPr>
                  <w:tcW w:w="3413" w:type="dxa"/>
                  <w:tcBorders>
                    <w:tl2br w:val="nil"/>
                    <w:tr2bl w:val="nil"/>
                  </w:tcBorders>
                  <w:vAlign w:val="center"/>
                </w:tcPr>
                <w:p>
                  <w:pPr>
                    <w:pStyle w:val="9"/>
                    <w:numPr>
                      <w:ilvl w:val="0"/>
                      <w:numId w:val="0"/>
                    </w:numPr>
                    <w:jc w:val="left"/>
                    <w:rPr>
                      <w:szCs w:val="21"/>
                    </w:rPr>
                  </w:pPr>
                  <w:r>
                    <w:rPr>
                      <w:rFonts w:hint="eastAsia"/>
                      <w:szCs w:val="21"/>
                    </w:rPr>
                    <w:t>根据《江苏省太湖水污染防治条例》（由江苏省第十二届人民代表大会常务委员会第三十四次会议于2018年1月24日通过，自2018年5月1日起施行）第四十三条，太湖流域一、二、三级保护区禁止下列行为：</w:t>
                  </w:r>
                </w:p>
                <w:p>
                  <w:pPr>
                    <w:pStyle w:val="9"/>
                    <w:numPr>
                      <w:ilvl w:val="0"/>
                      <w:numId w:val="0"/>
                    </w:numPr>
                    <w:jc w:val="left"/>
                    <w:rPr>
                      <w:szCs w:val="21"/>
                    </w:rPr>
                  </w:pPr>
                  <w:r>
                    <w:rPr>
                      <w:rFonts w:hint="eastAsia"/>
                      <w:szCs w:val="21"/>
                    </w:rPr>
                    <w:t>（一）新建、改建、扩建化学制浆造纸、制革、酿造、染料、印染、电镀以及其他排放含磷、氮等污染物的企业和项目，城镇污水集中处理等环境基础设施项目和第四十六条规定的情形除外；</w:t>
                  </w:r>
                </w:p>
                <w:p>
                  <w:pPr>
                    <w:pStyle w:val="9"/>
                    <w:numPr>
                      <w:ilvl w:val="0"/>
                      <w:numId w:val="0"/>
                    </w:numPr>
                    <w:jc w:val="left"/>
                    <w:rPr>
                      <w:szCs w:val="21"/>
                    </w:rPr>
                  </w:pPr>
                  <w:r>
                    <w:rPr>
                      <w:rFonts w:hint="eastAsia"/>
                      <w:szCs w:val="21"/>
                    </w:rPr>
                    <w:t>（二）销售、使用含磷洗涤用品；</w:t>
                  </w:r>
                </w:p>
                <w:p>
                  <w:pPr>
                    <w:pStyle w:val="9"/>
                    <w:numPr>
                      <w:ilvl w:val="0"/>
                      <w:numId w:val="0"/>
                    </w:numPr>
                    <w:jc w:val="left"/>
                    <w:rPr>
                      <w:szCs w:val="21"/>
                    </w:rPr>
                  </w:pPr>
                  <w:r>
                    <w:rPr>
                      <w:rFonts w:hint="eastAsia"/>
                      <w:szCs w:val="21"/>
                    </w:rPr>
                    <w:t>（三）向水体排放或者倾倒油类、酸液、碱液、剧毒废渣废液、含放射性废渣废液、含病原体污水、工业废渣以及其他废弃物；</w:t>
                  </w:r>
                </w:p>
                <w:p>
                  <w:pPr>
                    <w:pStyle w:val="9"/>
                    <w:numPr>
                      <w:ilvl w:val="0"/>
                      <w:numId w:val="0"/>
                    </w:numPr>
                    <w:jc w:val="left"/>
                    <w:rPr>
                      <w:szCs w:val="21"/>
                    </w:rPr>
                  </w:pPr>
                  <w:r>
                    <w:rPr>
                      <w:rFonts w:hint="eastAsia"/>
                      <w:szCs w:val="21"/>
                    </w:rPr>
                    <w:t>（四）在水体清洗装贮过油类或者有毒有害污染物的车辆、船舶和容器等；</w:t>
                  </w:r>
                </w:p>
                <w:p>
                  <w:pPr>
                    <w:pStyle w:val="9"/>
                    <w:numPr>
                      <w:ilvl w:val="0"/>
                      <w:numId w:val="0"/>
                    </w:numPr>
                    <w:jc w:val="left"/>
                    <w:rPr>
                      <w:szCs w:val="21"/>
                    </w:rPr>
                  </w:pPr>
                  <w:r>
                    <w:rPr>
                      <w:rFonts w:hint="eastAsia"/>
                      <w:szCs w:val="21"/>
                    </w:rPr>
                    <w:t>（五）使用农药等有毒物毒杀水生生物；</w:t>
                  </w:r>
                </w:p>
                <w:p>
                  <w:pPr>
                    <w:pStyle w:val="9"/>
                    <w:numPr>
                      <w:ilvl w:val="0"/>
                      <w:numId w:val="0"/>
                    </w:numPr>
                    <w:jc w:val="left"/>
                    <w:rPr>
                      <w:szCs w:val="21"/>
                    </w:rPr>
                  </w:pPr>
                  <w:r>
                    <w:rPr>
                      <w:rFonts w:hint="eastAsia"/>
                      <w:szCs w:val="21"/>
                    </w:rPr>
                    <w:t>（六）向水体直接排放人畜粪便、倾倒垃圾；</w:t>
                  </w:r>
                </w:p>
                <w:p>
                  <w:pPr>
                    <w:pStyle w:val="9"/>
                    <w:numPr>
                      <w:ilvl w:val="0"/>
                      <w:numId w:val="0"/>
                    </w:numPr>
                    <w:jc w:val="left"/>
                    <w:rPr>
                      <w:szCs w:val="21"/>
                    </w:rPr>
                  </w:pPr>
                  <w:r>
                    <w:rPr>
                      <w:rFonts w:hint="eastAsia"/>
                      <w:szCs w:val="21"/>
                    </w:rPr>
                    <w:t>（七）围湖造地；</w:t>
                  </w:r>
                </w:p>
                <w:p>
                  <w:pPr>
                    <w:pStyle w:val="9"/>
                    <w:numPr>
                      <w:ilvl w:val="0"/>
                      <w:numId w:val="0"/>
                    </w:numPr>
                    <w:jc w:val="left"/>
                    <w:rPr>
                      <w:szCs w:val="21"/>
                    </w:rPr>
                  </w:pPr>
                  <w:r>
                    <w:rPr>
                      <w:rFonts w:hint="eastAsia"/>
                      <w:szCs w:val="21"/>
                    </w:rPr>
                    <w:t>（八）违法开山采石，或者进行破坏林木、植被、水生生物的活动；（九）法律、法规禁止的其他行为。</w:t>
                  </w:r>
                </w:p>
                <w:p>
                  <w:pPr>
                    <w:pStyle w:val="9"/>
                    <w:numPr>
                      <w:ilvl w:val="0"/>
                      <w:numId w:val="0"/>
                    </w:numPr>
                    <w:jc w:val="left"/>
                    <w:rPr>
                      <w:szCs w:val="21"/>
                    </w:rPr>
                  </w:pPr>
                  <w:r>
                    <w:rPr>
                      <w:rFonts w:hint="eastAsia"/>
                      <w:szCs w:val="21"/>
                    </w:rPr>
                    <w:t>第四十四条除二级保护区规定的禁止行为以外，太湖流域一级保护区还禁止下列行为：</w:t>
                  </w:r>
                </w:p>
                <w:p>
                  <w:pPr>
                    <w:pStyle w:val="9"/>
                    <w:numPr>
                      <w:ilvl w:val="0"/>
                      <w:numId w:val="2"/>
                    </w:numPr>
                    <w:ind w:left="0" w:firstLine="0"/>
                    <w:jc w:val="left"/>
                    <w:rPr>
                      <w:szCs w:val="21"/>
                    </w:rPr>
                  </w:pPr>
                  <w:r>
                    <w:rPr>
                      <w:rFonts w:hint="eastAsia"/>
                      <w:szCs w:val="21"/>
                    </w:rPr>
                    <w:t>新建、扩建向水体排放污染物的建设项目；</w:t>
                  </w:r>
                </w:p>
                <w:p>
                  <w:pPr>
                    <w:pStyle w:val="9"/>
                    <w:numPr>
                      <w:ilvl w:val="0"/>
                      <w:numId w:val="2"/>
                    </w:numPr>
                    <w:ind w:left="0" w:firstLine="0"/>
                    <w:jc w:val="left"/>
                    <w:rPr>
                      <w:szCs w:val="21"/>
                    </w:rPr>
                  </w:pPr>
                  <w:r>
                    <w:rPr>
                      <w:rFonts w:hint="eastAsia"/>
                      <w:szCs w:val="21"/>
                    </w:rPr>
                    <w:t>在国家和省规定的养殖范围外从事网围、网箱养殖，利用虾窝、地笼网、机械吸螺、底拖网进行捕捞作业；</w:t>
                  </w:r>
                </w:p>
                <w:p>
                  <w:pPr>
                    <w:pStyle w:val="9"/>
                    <w:numPr>
                      <w:ilvl w:val="0"/>
                      <w:numId w:val="0"/>
                    </w:numPr>
                    <w:jc w:val="left"/>
                    <w:rPr>
                      <w:szCs w:val="21"/>
                    </w:rPr>
                  </w:pPr>
                  <w:r>
                    <w:rPr>
                      <w:rFonts w:hint="eastAsia"/>
                      <w:szCs w:val="21"/>
                    </w:rPr>
                    <w:t>（三）新建、扩建畜禽养殖场；</w:t>
                  </w:r>
                </w:p>
                <w:p>
                  <w:pPr>
                    <w:pStyle w:val="9"/>
                    <w:numPr>
                      <w:ilvl w:val="0"/>
                      <w:numId w:val="0"/>
                    </w:numPr>
                    <w:jc w:val="left"/>
                    <w:rPr>
                      <w:szCs w:val="21"/>
                    </w:rPr>
                  </w:pPr>
                  <w:r>
                    <w:rPr>
                      <w:rFonts w:hint="eastAsia"/>
                      <w:szCs w:val="21"/>
                    </w:rPr>
                    <w:t>（四）新建、扩建高尔夫球场、水上游乐等开发项目；</w:t>
                  </w:r>
                </w:p>
                <w:p>
                  <w:pPr>
                    <w:pStyle w:val="9"/>
                    <w:numPr>
                      <w:ilvl w:val="0"/>
                      <w:numId w:val="0"/>
                    </w:numPr>
                    <w:jc w:val="left"/>
                    <w:rPr>
                      <w:szCs w:val="21"/>
                    </w:rPr>
                  </w:pPr>
                  <w:r>
                    <w:rPr>
                      <w:rFonts w:hint="eastAsia"/>
                      <w:szCs w:val="21"/>
                    </w:rPr>
                    <w:t>（五）设置水上餐饮经营设施；</w:t>
                  </w:r>
                </w:p>
                <w:p>
                  <w:pPr>
                    <w:pStyle w:val="9"/>
                    <w:numPr>
                      <w:ilvl w:val="0"/>
                      <w:numId w:val="0"/>
                    </w:numPr>
                    <w:jc w:val="left"/>
                    <w:rPr>
                      <w:szCs w:val="21"/>
                    </w:rPr>
                  </w:pPr>
                  <w:r>
                    <w:rPr>
                      <w:rFonts w:hint="eastAsia"/>
                      <w:szCs w:val="21"/>
                    </w:rPr>
                    <w:t>（六）法律、法规禁止的其他可能污染水质的活动。</w:t>
                  </w:r>
                </w:p>
                <w:p>
                  <w:pPr>
                    <w:pStyle w:val="9"/>
                    <w:numPr>
                      <w:ilvl w:val="0"/>
                      <w:numId w:val="0"/>
                    </w:numPr>
                    <w:jc w:val="left"/>
                    <w:rPr>
                      <w:szCs w:val="21"/>
                    </w:rPr>
                  </w:pPr>
                  <w:r>
                    <w:rPr>
                      <w:rFonts w:hint="eastAsia"/>
                      <w:szCs w:val="21"/>
                    </w:rPr>
                    <w:t>除城镇污水集中处理设施依法设置的排污口外，一级保护区内已经设置的排污口应当限期关闭。第四十五条太湖流域二级保护区禁止下列行为：</w:t>
                  </w:r>
                </w:p>
                <w:p>
                  <w:pPr>
                    <w:pStyle w:val="9"/>
                    <w:numPr>
                      <w:ilvl w:val="0"/>
                      <w:numId w:val="0"/>
                    </w:numPr>
                    <w:jc w:val="left"/>
                    <w:rPr>
                      <w:szCs w:val="21"/>
                    </w:rPr>
                  </w:pPr>
                  <w:r>
                    <w:rPr>
                      <w:rFonts w:hint="eastAsia"/>
                      <w:szCs w:val="21"/>
                    </w:rPr>
                    <w:t>（一）新建、扩建化工、医药生产项目；</w:t>
                  </w:r>
                </w:p>
                <w:p>
                  <w:pPr>
                    <w:pStyle w:val="9"/>
                    <w:numPr>
                      <w:ilvl w:val="0"/>
                      <w:numId w:val="0"/>
                    </w:numPr>
                    <w:jc w:val="left"/>
                    <w:rPr>
                      <w:szCs w:val="21"/>
                    </w:rPr>
                  </w:pPr>
                  <w:r>
                    <w:rPr>
                      <w:rFonts w:hint="eastAsia"/>
                      <w:szCs w:val="21"/>
                    </w:rPr>
                    <w:t>（二）新建、扩建污水集中处理设施排污口以外的排污口；</w:t>
                  </w:r>
                </w:p>
                <w:p>
                  <w:pPr>
                    <w:pStyle w:val="9"/>
                    <w:numPr>
                      <w:ilvl w:val="0"/>
                      <w:numId w:val="0"/>
                    </w:numPr>
                    <w:jc w:val="left"/>
                    <w:rPr>
                      <w:szCs w:val="21"/>
                    </w:rPr>
                  </w:pPr>
                  <w:r>
                    <w:rPr>
                      <w:rFonts w:hint="eastAsia"/>
                      <w:szCs w:val="21"/>
                    </w:rPr>
                    <w:t>（三）扩大水产养殖规模；</w:t>
                  </w:r>
                </w:p>
                <w:p>
                  <w:pPr>
                    <w:pStyle w:val="9"/>
                    <w:numPr>
                      <w:ilvl w:val="0"/>
                      <w:numId w:val="0"/>
                    </w:numPr>
                    <w:jc w:val="left"/>
                    <w:rPr>
                      <w:szCs w:val="21"/>
                    </w:rPr>
                  </w:pPr>
                  <w:r>
                    <w:rPr>
                      <w:rFonts w:hint="eastAsia"/>
                      <w:szCs w:val="21"/>
                    </w:rPr>
                    <w:t>（四）法律、法规禁止的其他行为。</w:t>
                  </w:r>
                </w:p>
                <w:p>
                  <w:pPr>
                    <w:pStyle w:val="9"/>
                    <w:numPr>
                      <w:ilvl w:val="0"/>
                      <w:numId w:val="0"/>
                    </w:numPr>
                    <w:jc w:val="left"/>
                    <w:rPr>
                      <w:szCs w:val="21"/>
                    </w:rPr>
                  </w:pPr>
                  <w:r>
                    <w:rPr>
                      <w:rFonts w:hint="eastAsia"/>
                      <w:szCs w:val="21"/>
                    </w:rPr>
                    <w:t>根据《江苏省人民政府关于印发江苏省太湖水污染治理工作方案的通知》（苏政发[2007]97号）规定，禁止新上增加氮磷污染的项目。</w:t>
                  </w:r>
                </w:p>
              </w:tc>
              <w:tc>
                <w:tcPr>
                  <w:tcW w:w="2025" w:type="dxa"/>
                  <w:tcBorders>
                    <w:tl2br w:val="nil"/>
                    <w:tr2bl w:val="nil"/>
                  </w:tcBorders>
                  <w:vAlign w:val="center"/>
                </w:tcPr>
                <w:p>
                  <w:pPr>
                    <w:pStyle w:val="9"/>
                    <w:numPr>
                      <w:ilvl w:val="0"/>
                      <w:numId w:val="0"/>
                    </w:numPr>
                    <w:jc w:val="left"/>
                    <w:rPr>
                      <w:szCs w:val="21"/>
                    </w:rPr>
                  </w:pPr>
                  <w:r>
                    <w:rPr>
                      <w:rFonts w:hint="eastAsia"/>
                      <w:szCs w:val="21"/>
                    </w:rPr>
                    <w:t>对照《江苏省太湖流域三级保护区范围的通知》 苏 政 办 发[2012]221号，本项目在三级保护区范围内，属于“</w:t>
                  </w:r>
                  <w:r>
                    <w:rPr>
                      <w:rFonts w:hint="eastAsia"/>
                      <w:szCs w:val="21"/>
                      <w:lang w:eastAsia="zh-CN"/>
                    </w:rPr>
                    <w:t>C2921塑料薄膜制造</w:t>
                  </w:r>
                  <w:r>
                    <w:rPr>
                      <w:rFonts w:hint="eastAsia"/>
                      <w:szCs w:val="21"/>
                    </w:rPr>
                    <w:t>”类项目。生产过程中不使用含氮、磷洗涤用品；不属于上述禁止类项目。</w:t>
                  </w:r>
                </w:p>
              </w:tc>
              <w:tc>
                <w:tcPr>
                  <w:tcW w:w="704" w:type="dxa"/>
                  <w:tcBorders>
                    <w:tl2br w:val="nil"/>
                    <w:tr2bl w:val="nil"/>
                  </w:tcBorders>
                  <w:vAlign w:val="center"/>
                </w:tcPr>
                <w:p>
                  <w:pPr>
                    <w:pStyle w:val="9"/>
                    <w:numPr>
                      <w:ilvl w:val="0"/>
                      <w:numId w:val="0"/>
                    </w:numPr>
                    <w:jc w:val="center"/>
                    <w:rPr>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l2br w:val="nil"/>
                    <w:tr2bl w:val="nil"/>
                  </w:tcBorders>
                  <w:vAlign w:val="center"/>
                </w:tcPr>
                <w:p>
                  <w:pPr>
                    <w:pStyle w:val="9"/>
                    <w:numPr>
                      <w:ilvl w:val="0"/>
                      <w:numId w:val="0"/>
                    </w:numPr>
                    <w:jc w:val="center"/>
                    <w:rPr>
                      <w:rFonts w:hint="eastAsia"/>
                      <w:szCs w:val="21"/>
                    </w:rPr>
                  </w:pPr>
                  <w:r>
                    <w:rPr>
                      <w:rFonts w:hint="eastAsia"/>
                      <w:szCs w:val="21"/>
                    </w:rPr>
                    <w:t>《省生态环境厅关于进一步做好建设项目环评审批工作的通知》</w:t>
                  </w:r>
                </w:p>
              </w:tc>
              <w:tc>
                <w:tcPr>
                  <w:tcW w:w="3413" w:type="dxa"/>
                  <w:tcBorders>
                    <w:tl2br w:val="nil"/>
                    <w:tr2bl w:val="nil"/>
                  </w:tcBorders>
                  <w:vAlign w:val="center"/>
                </w:tcPr>
                <w:p>
                  <w:pPr>
                    <w:pStyle w:val="9"/>
                    <w:numPr>
                      <w:ilvl w:val="0"/>
                      <w:numId w:val="0"/>
                    </w:numPr>
                    <w:jc w:val="left"/>
                    <w:rPr>
                      <w:rFonts w:hint="eastAsia"/>
                      <w:szCs w:val="21"/>
                    </w:rPr>
                  </w:pPr>
                  <w:r>
                    <w:rPr>
                      <w:rFonts w:hint="eastAsia"/>
                      <w:szCs w:val="21"/>
                    </w:rPr>
                    <w:t>有下列情形之一的，不予批准：</w:t>
                  </w:r>
                </w:p>
                <w:p>
                  <w:pPr>
                    <w:pStyle w:val="9"/>
                    <w:numPr>
                      <w:ilvl w:val="0"/>
                      <w:numId w:val="0"/>
                    </w:numPr>
                    <w:jc w:val="left"/>
                    <w:rPr>
                      <w:rFonts w:hint="eastAsia"/>
                      <w:szCs w:val="21"/>
                    </w:rPr>
                  </w:pPr>
                  <w:r>
                    <w:rPr>
                      <w:rFonts w:hint="eastAsia"/>
                      <w:szCs w:val="21"/>
                    </w:rPr>
                    <w:t>（1）建设项目类型及其选址、布局、规模等不符合环境保护法律法规和相关法定规划；</w:t>
                  </w:r>
                </w:p>
                <w:p>
                  <w:pPr>
                    <w:pStyle w:val="9"/>
                    <w:numPr>
                      <w:ilvl w:val="0"/>
                      <w:numId w:val="0"/>
                    </w:numPr>
                    <w:jc w:val="left"/>
                    <w:rPr>
                      <w:rFonts w:hint="eastAsia"/>
                      <w:szCs w:val="21"/>
                    </w:rPr>
                  </w:pPr>
                  <w:r>
                    <w:rPr>
                      <w:rFonts w:hint="eastAsia"/>
                      <w:szCs w:val="21"/>
                    </w:rPr>
                    <w:t>（2）所在区域环境质量未达到国家或者地方环境质量标准，且建设项目拟采取的措施不能满足区域环境质量改善目标管理要求；</w:t>
                  </w:r>
                </w:p>
                <w:p>
                  <w:pPr>
                    <w:pStyle w:val="9"/>
                    <w:numPr>
                      <w:ilvl w:val="0"/>
                      <w:numId w:val="0"/>
                    </w:numPr>
                    <w:jc w:val="left"/>
                    <w:rPr>
                      <w:rFonts w:hint="eastAsia"/>
                      <w:szCs w:val="21"/>
                    </w:rPr>
                  </w:pPr>
                  <w:r>
                    <w:rPr>
                      <w:rFonts w:hint="eastAsia"/>
                      <w:szCs w:val="21"/>
                    </w:rPr>
                    <w:t>（3）建设项目采取的污染防治措施无法确保污染物排放达到国家和地方标准，或者未采取必要措施预防和控制生态破坏；</w:t>
                  </w:r>
                </w:p>
                <w:p>
                  <w:pPr>
                    <w:pStyle w:val="9"/>
                    <w:numPr>
                      <w:ilvl w:val="0"/>
                      <w:numId w:val="0"/>
                    </w:numPr>
                    <w:jc w:val="left"/>
                    <w:rPr>
                      <w:rFonts w:hint="eastAsia"/>
                      <w:szCs w:val="21"/>
                    </w:rPr>
                  </w:pPr>
                  <w:r>
                    <w:rPr>
                      <w:rFonts w:hint="eastAsia"/>
                      <w:szCs w:val="21"/>
                    </w:rPr>
                    <w:t>（4）改建、扩建和技术改造项目，未针对项目原有污染环境和生态破坏提出有效防治措施；</w:t>
                  </w:r>
                </w:p>
                <w:p>
                  <w:pPr>
                    <w:pStyle w:val="9"/>
                    <w:numPr>
                      <w:ilvl w:val="0"/>
                      <w:numId w:val="0"/>
                    </w:numPr>
                    <w:jc w:val="left"/>
                    <w:rPr>
                      <w:rFonts w:hint="eastAsia"/>
                      <w:szCs w:val="21"/>
                    </w:rPr>
                  </w:pPr>
                  <w:r>
                    <w:rPr>
                      <w:rFonts w:hint="eastAsia"/>
                      <w:szCs w:val="21"/>
                    </w:rPr>
                    <w:t>（5）建设项目的环境影响报告书、环境影响报告表的基础资料数据明显不实，内容存在重大缺陷、遗漏，或者环境影响评价结论不明显、不合理。</w:t>
                  </w:r>
                </w:p>
              </w:tc>
              <w:tc>
                <w:tcPr>
                  <w:tcW w:w="2025" w:type="dxa"/>
                  <w:tcBorders>
                    <w:tl2br w:val="nil"/>
                    <w:tr2bl w:val="nil"/>
                  </w:tcBorders>
                  <w:vAlign w:val="center"/>
                </w:tcPr>
                <w:p>
                  <w:pPr>
                    <w:pStyle w:val="9"/>
                    <w:numPr>
                      <w:ilvl w:val="0"/>
                      <w:numId w:val="0"/>
                    </w:numPr>
                    <w:jc w:val="left"/>
                    <w:rPr>
                      <w:rFonts w:hint="eastAsia"/>
                      <w:szCs w:val="21"/>
                    </w:rPr>
                  </w:pPr>
                  <w:r>
                    <w:rPr>
                      <w:rFonts w:hint="eastAsia"/>
                      <w:szCs w:val="21"/>
                    </w:rPr>
                    <w:t>（1）建设项目类型及其选址、布局、规模等符合环境保护法律法规和相关法定规划；</w:t>
                  </w:r>
                </w:p>
                <w:p>
                  <w:pPr>
                    <w:pStyle w:val="9"/>
                    <w:numPr>
                      <w:ilvl w:val="0"/>
                      <w:numId w:val="0"/>
                    </w:numPr>
                    <w:jc w:val="left"/>
                    <w:rPr>
                      <w:rFonts w:hint="eastAsia"/>
                      <w:szCs w:val="21"/>
                    </w:rPr>
                  </w:pPr>
                  <w:r>
                    <w:rPr>
                      <w:rFonts w:hint="eastAsia"/>
                      <w:szCs w:val="21"/>
                    </w:rPr>
                    <w:t>（2）项目所在区域为环境不达标区，项目拟采取的措施能满足区域环境质量改善目标管理要求；</w:t>
                  </w:r>
                </w:p>
                <w:p>
                  <w:pPr>
                    <w:pStyle w:val="9"/>
                    <w:numPr>
                      <w:ilvl w:val="0"/>
                      <w:numId w:val="0"/>
                    </w:numPr>
                    <w:jc w:val="left"/>
                    <w:rPr>
                      <w:rFonts w:hint="eastAsia"/>
                      <w:szCs w:val="21"/>
                    </w:rPr>
                  </w:pPr>
                  <w:r>
                    <w:rPr>
                      <w:rFonts w:hint="eastAsia"/>
                      <w:szCs w:val="21"/>
                    </w:rPr>
                    <w:t>（3）建设项目采取的污染防治措施可确保污染物排放达到国家和地方标准；</w:t>
                  </w:r>
                </w:p>
                <w:p>
                  <w:pPr>
                    <w:pStyle w:val="9"/>
                    <w:numPr>
                      <w:ilvl w:val="0"/>
                      <w:numId w:val="0"/>
                    </w:numPr>
                    <w:jc w:val="left"/>
                    <w:rPr>
                      <w:rFonts w:hint="eastAsia"/>
                      <w:szCs w:val="21"/>
                    </w:rPr>
                  </w:pPr>
                  <w:r>
                    <w:rPr>
                      <w:rFonts w:hint="eastAsia"/>
                      <w:szCs w:val="21"/>
                    </w:rPr>
                    <w:t>（4）本项目基础资料数据真实有效，评价结论合理可信，不存在不予批准的情形。</w:t>
                  </w:r>
                </w:p>
              </w:tc>
              <w:tc>
                <w:tcPr>
                  <w:tcW w:w="704" w:type="dxa"/>
                  <w:tcBorders>
                    <w:tl2br w:val="nil"/>
                    <w:tr2bl w:val="nil"/>
                  </w:tcBorders>
                  <w:vAlign w:val="center"/>
                </w:tcPr>
                <w:p>
                  <w:pPr>
                    <w:pStyle w:val="9"/>
                    <w:numPr>
                      <w:ilvl w:val="0"/>
                      <w:numId w:val="0"/>
                    </w:numPr>
                    <w:jc w:val="center"/>
                    <w:rPr>
                      <w:rFonts w:hint="eastAsia" w:eastAsia="宋体"/>
                      <w:szCs w:val="21"/>
                      <w:lang w:val="en-US" w:eastAsia="zh-CN"/>
                    </w:rPr>
                  </w:pPr>
                  <w:r>
                    <w:rPr>
                      <w:rFonts w:hint="eastAsia"/>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l2br w:val="nil"/>
                    <w:tr2bl w:val="nil"/>
                  </w:tcBorders>
                  <w:vAlign w:val="center"/>
                </w:tcPr>
                <w:p>
                  <w:pPr>
                    <w:pStyle w:val="9"/>
                    <w:numPr>
                      <w:ilvl w:val="0"/>
                      <w:numId w:val="0"/>
                    </w:numPr>
                    <w:jc w:val="center"/>
                    <w:rPr>
                      <w:rFonts w:hint="eastAsia"/>
                      <w:szCs w:val="21"/>
                    </w:rPr>
                  </w:pPr>
                  <w:r>
                    <w:rPr>
                      <w:rFonts w:hint="eastAsia"/>
                      <w:szCs w:val="21"/>
                    </w:rPr>
                    <w:t>《常州市生态环境局关于建设项目的审批指导意见（试行）》、《常州市</w:t>
                  </w:r>
                </w:p>
                <w:p>
                  <w:pPr>
                    <w:pStyle w:val="9"/>
                    <w:numPr>
                      <w:ilvl w:val="0"/>
                      <w:numId w:val="0"/>
                    </w:numPr>
                    <w:jc w:val="center"/>
                    <w:rPr>
                      <w:rFonts w:hint="eastAsia"/>
                      <w:szCs w:val="21"/>
                    </w:rPr>
                  </w:pPr>
                  <w:r>
                    <w:rPr>
                      <w:rFonts w:hint="eastAsia"/>
                      <w:szCs w:val="21"/>
                    </w:rPr>
                    <w:t>生态环境局关于调整建设项目报备范围的通知》</w:t>
                  </w:r>
                </w:p>
              </w:tc>
              <w:tc>
                <w:tcPr>
                  <w:tcW w:w="3413" w:type="dxa"/>
                  <w:tcBorders>
                    <w:tl2br w:val="nil"/>
                    <w:tr2bl w:val="nil"/>
                  </w:tcBorders>
                  <w:vAlign w:val="center"/>
                </w:tcPr>
                <w:p>
                  <w:pPr>
                    <w:pStyle w:val="9"/>
                    <w:numPr>
                      <w:ilvl w:val="0"/>
                      <w:numId w:val="0"/>
                    </w:numPr>
                    <w:jc w:val="left"/>
                    <w:rPr>
                      <w:rFonts w:hint="eastAsia"/>
                      <w:szCs w:val="21"/>
                    </w:rPr>
                  </w:pPr>
                  <w:r>
                    <w:rPr>
                      <w:rFonts w:hint="eastAsia"/>
                      <w:szCs w:val="21"/>
                    </w:rPr>
                    <w:t>1.严格项目总量。实施建设项目大气污染物总量负 增长原则，即重点区域内建设项目使用大气污染物 总量，原则上在重点区域范围内实施总量平衡，且必须实行总量2倍减量替代。</w:t>
                  </w:r>
                </w:p>
                <w:p>
                  <w:pPr>
                    <w:pStyle w:val="9"/>
                    <w:numPr>
                      <w:ilvl w:val="0"/>
                      <w:numId w:val="0"/>
                    </w:numPr>
                    <w:jc w:val="left"/>
                    <w:rPr>
                      <w:rFonts w:hint="eastAsia"/>
                      <w:szCs w:val="21"/>
                    </w:rPr>
                  </w:pPr>
                  <w:r>
                    <w:rPr>
                      <w:rFonts w:hint="eastAsia"/>
                      <w:szCs w:val="21"/>
                    </w:rPr>
                    <w:t>2.强化环评审批。对重点区域内新上的大气污染物 排放的建设项目及全市范围内新上高能耗项目，审</w:t>
                  </w:r>
                </w:p>
                <w:p>
                  <w:pPr>
                    <w:pStyle w:val="9"/>
                    <w:numPr>
                      <w:ilvl w:val="0"/>
                      <w:numId w:val="0"/>
                    </w:numPr>
                    <w:jc w:val="left"/>
                    <w:rPr>
                      <w:rFonts w:hint="eastAsia"/>
                      <w:szCs w:val="21"/>
                    </w:rPr>
                  </w:pPr>
                  <w:r>
                    <w:rPr>
                      <w:rFonts w:hint="eastAsia"/>
                      <w:szCs w:val="21"/>
                    </w:rPr>
                    <w:t>批部分对其环评文本应实施质量评估。</w:t>
                  </w:r>
                </w:p>
                <w:p>
                  <w:pPr>
                    <w:pStyle w:val="9"/>
                    <w:numPr>
                      <w:ilvl w:val="0"/>
                      <w:numId w:val="0"/>
                    </w:numPr>
                    <w:jc w:val="left"/>
                    <w:rPr>
                      <w:rFonts w:hint="eastAsia"/>
                      <w:szCs w:val="21"/>
                    </w:rPr>
                  </w:pPr>
                  <w:r>
                    <w:rPr>
                      <w:rFonts w:hint="eastAsia"/>
                      <w:szCs w:val="21"/>
                    </w:rPr>
                    <w:t>3.推进减污降碳。对重点区域内新上的涉及大气污染物排放的建设项目及全市范围内新上高能耗建设项目的严格审批，区级审批部门审批前需向生态 环境局报备，审批部门方可出具审批文件。</w:t>
                  </w:r>
                </w:p>
                <w:p>
                  <w:pPr>
                    <w:pStyle w:val="9"/>
                    <w:numPr>
                      <w:ilvl w:val="0"/>
                      <w:numId w:val="0"/>
                    </w:numPr>
                    <w:jc w:val="left"/>
                    <w:rPr>
                      <w:rFonts w:hint="eastAsia"/>
                      <w:szCs w:val="21"/>
                    </w:rPr>
                  </w:pPr>
                  <w:r>
                    <w:rPr>
                      <w:rFonts w:hint="eastAsia"/>
                      <w:szCs w:val="21"/>
                    </w:rPr>
                    <w:t>报备范围：1.重点区域：我市大气质量国控站点周边三公里范围。2.重点行业：①“两高”行业主要包括煤电、石化、化工、钢铁、有色金属冶炼和建材六大行业，以及制药、农药行业；②《环境保护综合名录（2021 年版）》中“高污染”和“高污染、高环境风险”类别项目。</w:t>
                  </w:r>
                </w:p>
              </w:tc>
              <w:tc>
                <w:tcPr>
                  <w:tcW w:w="2025" w:type="dxa"/>
                  <w:tcBorders>
                    <w:tl2br w:val="nil"/>
                    <w:tr2bl w:val="nil"/>
                  </w:tcBorders>
                  <w:vAlign w:val="center"/>
                </w:tcPr>
                <w:p>
                  <w:pPr>
                    <w:pStyle w:val="9"/>
                    <w:numPr>
                      <w:ilvl w:val="0"/>
                      <w:numId w:val="0"/>
                    </w:numPr>
                    <w:jc w:val="left"/>
                    <w:rPr>
                      <w:rFonts w:hint="eastAsia"/>
                      <w:szCs w:val="21"/>
                    </w:rPr>
                  </w:pPr>
                  <w:r>
                    <w:rPr>
                      <w:rFonts w:hint="eastAsia"/>
                      <w:szCs w:val="21"/>
                    </w:rPr>
                    <w:t>本项目选址于</w:t>
                  </w:r>
                  <w:r>
                    <w:rPr>
                      <w:szCs w:val="21"/>
                    </w:rPr>
                    <w:t>江苏省常州市武进国家高新技术产业开发区龙逸路76号</w:t>
                  </w:r>
                  <w:r>
                    <w:rPr>
                      <w:rFonts w:hint="eastAsia"/>
                      <w:szCs w:val="21"/>
                    </w:rPr>
                    <w:t>，不在市大气质量国控站点周边三公里范围内，不属于文件中重点区域范围；本项目主要产品为</w:t>
                  </w:r>
                  <w:r>
                    <w:rPr>
                      <w:rFonts w:hint="eastAsia"/>
                      <w:szCs w:val="21"/>
                      <w:lang w:eastAsia="zh-CN"/>
                    </w:rPr>
                    <w:t>医疗器械用塑料包装袋</w:t>
                  </w:r>
                  <w:r>
                    <w:rPr>
                      <w:rFonts w:hint="eastAsia"/>
                      <w:szCs w:val="21"/>
                    </w:rPr>
                    <w:t>，</w:t>
                  </w:r>
                  <w:r>
                    <w:rPr>
                      <w:rFonts w:hint="eastAsia"/>
                      <w:szCs w:val="21"/>
                      <w:lang w:val="en-US" w:eastAsia="zh-CN"/>
                    </w:rPr>
                    <w:t>不</w:t>
                  </w:r>
                  <w:r>
                    <w:rPr>
                      <w:rFonts w:hint="eastAsia"/>
                      <w:szCs w:val="21"/>
                    </w:rPr>
                    <w:t>属于“两高”行业，不属于《环境保护综合名录（2021年版）》中“高污染”和“高污染、高环境风险”类别项目。项目将按照环保审批要求申请总量。</w:t>
                  </w:r>
                </w:p>
              </w:tc>
              <w:tc>
                <w:tcPr>
                  <w:tcW w:w="704" w:type="dxa"/>
                  <w:tcBorders>
                    <w:tl2br w:val="nil"/>
                    <w:tr2bl w:val="nil"/>
                  </w:tcBorders>
                  <w:vAlign w:val="center"/>
                </w:tcPr>
                <w:p>
                  <w:pPr>
                    <w:pStyle w:val="9"/>
                    <w:numPr>
                      <w:ilvl w:val="0"/>
                      <w:numId w:val="0"/>
                    </w:numPr>
                    <w:jc w:val="center"/>
                    <w:rPr>
                      <w:rFonts w:hint="default"/>
                      <w:szCs w:val="21"/>
                      <w:lang w:val="en-US" w:eastAsia="zh-CN"/>
                    </w:rPr>
                  </w:pPr>
                  <w:r>
                    <w:rPr>
                      <w:rFonts w:hint="eastAsia"/>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l2br w:val="nil"/>
                    <w:tr2bl w:val="nil"/>
                  </w:tcBorders>
                  <w:vAlign w:val="center"/>
                </w:tcPr>
                <w:p>
                  <w:pPr>
                    <w:pStyle w:val="9"/>
                    <w:numPr>
                      <w:ilvl w:val="0"/>
                      <w:numId w:val="0"/>
                    </w:numPr>
                    <w:jc w:val="center"/>
                    <w:rPr>
                      <w:szCs w:val="21"/>
                    </w:rPr>
                  </w:pPr>
                  <w:r>
                    <w:rPr>
                      <w:rFonts w:hint="eastAsia"/>
                      <w:szCs w:val="21"/>
                    </w:rPr>
                    <w:t>《江苏省大气污染防治条例》</w:t>
                  </w:r>
                </w:p>
              </w:tc>
              <w:tc>
                <w:tcPr>
                  <w:tcW w:w="3413" w:type="dxa"/>
                  <w:tcBorders>
                    <w:tl2br w:val="nil"/>
                    <w:tr2bl w:val="nil"/>
                  </w:tcBorders>
                  <w:vAlign w:val="center"/>
                </w:tcPr>
                <w:p>
                  <w:pPr>
                    <w:pStyle w:val="9"/>
                    <w:numPr>
                      <w:ilvl w:val="0"/>
                      <w:numId w:val="0"/>
                    </w:numPr>
                    <w:jc w:val="left"/>
                    <w:rPr>
                      <w:szCs w:val="21"/>
                    </w:rPr>
                  </w:pPr>
                  <w:r>
                    <w:rPr>
                      <w:szCs w:val="21"/>
                    </w:rPr>
                    <w:t>条例规定：“产生挥发性有机物废气的生产经营活动，应当在密闭空间或者设备中进行，并设置废气收集和处理系统等污染防治设施，保持其正常使用；造船等无法在密闭空间进行的生产经营活动，应当采取有效措施，减少挥发性</w:t>
                  </w:r>
                </w:p>
                <w:p>
                  <w:pPr>
                    <w:pStyle w:val="9"/>
                    <w:numPr>
                      <w:ilvl w:val="0"/>
                      <w:numId w:val="0"/>
                    </w:numPr>
                    <w:jc w:val="left"/>
                    <w:rPr>
                      <w:szCs w:val="21"/>
                    </w:rPr>
                  </w:pPr>
                  <w:r>
                    <w:rPr>
                      <w:szCs w:val="21"/>
                    </w:rPr>
                    <w:t>有机物排放量”。</w:t>
                  </w:r>
                </w:p>
              </w:tc>
              <w:tc>
                <w:tcPr>
                  <w:tcW w:w="2025" w:type="dxa"/>
                  <w:vMerge w:val="restart"/>
                  <w:tcBorders>
                    <w:tl2br w:val="nil"/>
                    <w:tr2bl w:val="nil"/>
                  </w:tcBorders>
                  <w:vAlign w:val="center"/>
                </w:tcPr>
                <w:p>
                  <w:pPr>
                    <w:pStyle w:val="9"/>
                    <w:numPr>
                      <w:ilvl w:val="0"/>
                      <w:numId w:val="0"/>
                    </w:numPr>
                    <w:jc w:val="left"/>
                    <w:rPr>
                      <w:rFonts w:hint="eastAsia" w:eastAsia="宋体"/>
                      <w:szCs w:val="21"/>
                      <w:lang w:eastAsia="zh-CN"/>
                    </w:rPr>
                  </w:pPr>
                  <w:r>
                    <w:rPr>
                      <w:szCs w:val="21"/>
                    </w:rPr>
                    <w:t>本项目</w:t>
                  </w:r>
                  <w:r>
                    <w:rPr>
                      <w:rFonts w:hint="eastAsia"/>
                      <w:szCs w:val="21"/>
                      <w:lang w:val="en-US" w:eastAsia="zh-CN"/>
                    </w:rPr>
                    <w:t>吹塑、制袋、烫袋工序产生的废气经管道负压收集后，进1套“二级活性炭吸附装置”（TA001）处理后通过1根15m高的DA001排气筒排放</w:t>
                  </w:r>
                  <w:r>
                    <w:rPr>
                      <w:rFonts w:hint="eastAsia"/>
                      <w:szCs w:val="21"/>
                    </w:rPr>
                    <w:t>。生产时车间密闭，从源头控制VOCs 的产生，减少废气污染物排放</w:t>
                  </w:r>
                  <w:r>
                    <w:rPr>
                      <w:rFonts w:hint="eastAsia"/>
                      <w:szCs w:val="21"/>
                      <w:lang w:eastAsia="zh-CN"/>
                    </w:rPr>
                    <w:t>，</w:t>
                  </w:r>
                  <w:r>
                    <w:rPr>
                      <w:szCs w:val="21"/>
                    </w:rPr>
                    <w:t>有组织达标排放</w:t>
                  </w:r>
                  <w:r>
                    <w:rPr>
                      <w:rFonts w:hint="eastAsia"/>
                      <w:szCs w:val="21"/>
                      <w:lang w:eastAsia="zh-CN"/>
                    </w:rPr>
                    <w:t>。</w:t>
                  </w:r>
                </w:p>
              </w:tc>
              <w:tc>
                <w:tcPr>
                  <w:tcW w:w="704" w:type="dxa"/>
                  <w:vMerge w:val="restart"/>
                  <w:tcBorders>
                    <w:tl2br w:val="nil"/>
                    <w:tr2bl w:val="nil"/>
                  </w:tcBorders>
                  <w:vAlign w:val="center"/>
                </w:tcPr>
                <w:p>
                  <w:pPr>
                    <w:pStyle w:val="9"/>
                    <w:numPr>
                      <w:ilvl w:val="0"/>
                      <w:numId w:val="0"/>
                    </w:numPr>
                    <w:jc w:val="center"/>
                    <w:rPr>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l2br w:val="nil"/>
                    <w:tr2bl w:val="nil"/>
                  </w:tcBorders>
                  <w:vAlign w:val="center"/>
                </w:tcPr>
                <w:p>
                  <w:pPr>
                    <w:pStyle w:val="9"/>
                    <w:numPr>
                      <w:ilvl w:val="0"/>
                      <w:numId w:val="0"/>
                    </w:numPr>
                    <w:jc w:val="center"/>
                    <w:rPr>
                      <w:szCs w:val="21"/>
                    </w:rPr>
                  </w:pPr>
                  <w:r>
                    <w:rPr>
                      <w:rFonts w:hint="eastAsia"/>
                      <w:szCs w:val="21"/>
                    </w:rPr>
                    <w:t>《江苏省挥发性有机物污染防治管理办法》</w:t>
                  </w:r>
                </w:p>
              </w:tc>
              <w:tc>
                <w:tcPr>
                  <w:tcW w:w="3413" w:type="dxa"/>
                  <w:tcBorders>
                    <w:tl2br w:val="nil"/>
                    <w:tr2bl w:val="nil"/>
                  </w:tcBorders>
                  <w:vAlign w:val="center"/>
                </w:tcPr>
                <w:p>
                  <w:pPr>
                    <w:pStyle w:val="9"/>
                    <w:numPr>
                      <w:ilvl w:val="0"/>
                      <w:numId w:val="0"/>
                    </w:numPr>
                    <w:jc w:val="left"/>
                    <w:rPr>
                      <w:szCs w:val="21"/>
                    </w:rPr>
                  </w:pPr>
                  <w:r>
                    <w:rPr>
                      <w:rFonts w:hint="eastAsia"/>
                      <w:szCs w:val="21"/>
                    </w:rPr>
                    <w:t>第十三条 新建、扩建、扩建排放挥发性有机物的建设项目，应当依法进行环境影响评价。新增挥发性有机物排放总量指标的不足部分，可以依照有关规定通过排污权交易取得。</w:t>
                  </w:r>
                </w:p>
                <w:p>
                  <w:pPr>
                    <w:pStyle w:val="9"/>
                    <w:numPr>
                      <w:ilvl w:val="0"/>
                      <w:numId w:val="0"/>
                    </w:numPr>
                    <w:jc w:val="left"/>
                    <w:rPr>
                      <w:szCs w:val="21"/>
                    </w:rPr>
                  </w:pPr>
                  <w:r>
                    <w:rPr>
                      <w:rFonts w:hint="eastAsia"/>
                      <w:szCs w:val="21"/>
                    </w:rPr>
                    <w:t>建设项目的环境影响评价文件未经审查或者审查后未予批准的，建设单位不得开工建设。</w:t>
                  </w:r>
                </w:p>
                <w:p>
                  <w:pPr>
                    <w:pStyle w:val="9"/>
                    <w:numPr>
                      <w:ilvl w:val="0"/>
                      <w:numId w:val="0"/>
                    </w:numPr>
                    <w:jc w:val="left"/>
                    <w:rPr>
                      <w:szCs w:val="21"/>
                    </w:rPr>
                  </w:pPr>
                  <w:r>
                    <w:rPr>
                      <w:rFonts w:hint="eastAsia"/>
                      <w:szCs w:val="21"/>
                    </w:rPr>
                    <w:t>第二十一条 产生挥发性有机物废气的生产经营活动应当在密闭空间或者密闭设备中进行。生产场所、生产设备应当按照环境保护和安全生产等要求设计、安装和有效运行挥发性有机物回收或者净化设施；固体废物、废水、废气处理系统产生的废气应当收集和处理；含有挥发性有机物的物料应当密闭储存、运输、装卸，禁止敞口和露天放置。</w:t>
                  </w:r>
                </w:p>
                <w:p>
                  <w:pPr>
                    <w:pStyle w:val="9"/>
                    <w:numPr>
                      <w:ilvl w:val="0"/>
                      <w:numId w:val="0"/>
                    </w:numPr>
                    <w:jc w:val="left"/>
                    <w:rPr>
                      <w:szCs w:val="21"/>
                    </w:rPr>
                  </w:pPr>
                  <w:r>
                    <w:rPr>
                      <w:rFonts w:hint="eastAsia"/>
                      <w:szCs w:val="21"/>
                    </w:rPr>
                    <w:t>无法在密闭空间进行的生产经营活动应当采取有效措施，减少挥发性有机物排放量。</w:t>
                  </w:r>
                </w:p>
              </w:tc>
              <w:tc>
                <w:tcPr>
                  <w:tcW w:w="2025" w:type="dxa"/>
                  <w:vMerge w:val="continue"/>
                  <w:tcBorders>
                    <w:tl2br w:val="nil"/>
                    <w:tr2bl w:val="nil"/>
                  </w:tcBorders>
                  <w:vAlign w:val="center"/>
                </w:tcPr>
                <w:p>
                  <w:pPr>
                    <w:pStyle w:val="9"/>
                    <w:numPr>
                      <w:ilvl w:val="0"/>
                      <w:numId w:val="0"/>
                    </w:numPr>
                    <w:jc w:val="left"/>
                    <w:rPr>
                      <w:szCs w:val="21"/>
                    </w:rPr>
                  </w:pPr>
                </w:p>
              </w:tc>
              <w:tc>
                <w:tcPr>
                  <w:tcW w:w="704" w:type="dxa"/>
                  <w:vMerge w:val="continue"/>
                  <w:tcBorders>
                    <w:tl2br w:val="nil"/>
                    <w:tr2bl w:val="nil"/>
                  </w:tcBorders>
                  <w:vAlign w:val="center"/>
                </w:tcPr>
                <w:p>
                  <w:pPr>
                    <w:pStyle w:val="9"/>
                    <w:numPr>
                      <w:ilvl w:val="0"/>
                      <w:numId w:val="0"/>
                    </w:num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l2br w:val="nil"/>
                    <w:tr2bl w:val="nil"/>
                  </w:tcBorders>
                  <w:vAlign w:val="center"/>
                </w:tcPr>
                <w:p>
                  <w:pPr>
                    <w:pStyle w:val="9"/>
                    <w:numPr>
                      <w:ilvl w:val="0"/>
                      <w:numId w:val="0"/>
                    </w:numPr>
                    <w:jc w:val="center"/>
                    <w:rPr>
                      <w:szCs w:val="21"/>
                    </w:rPr>
                  </w:pPr>
                  <w:r>
                    <w:rPr>
                      <w:rFonts w:hint="eastAsia"/>
                      <w:szCs w:val="21"/>
                    </w:rPr>
                    <w:t>《重点行业挥发性有机物综合治理方案》</w:t>
                  </w:r>
                </w:p>
              </w:tc>
              <w:tc>
                <w:tcPr>
                  <w:tcW w:w="3413" w:type="dxa"/>
                  <w:tcBorders>
                    <w:tl2br w:val="nil"/>
                    <w:tr2bl w:val="nil"/>
                  </w:tcBorders>
                  <w:vAlign w:val="center"/>
                </w:tcPr>
                <w:p>
                  <w:pPr>
                    <w:pStyle w:val="9"/>
                    <w:numPr>
                      <w:ilvl w:val="0"/>
                      <w:numId w:val="0"/>
                    </w:numPr>
                    <w:jc w:val="left"/>
                    <w:rPr>
                      <w:szCs w:val="21"/>
                    </w:rPr>
                  </w:pPr>
                  <w:r>
                    <w:rPr>
                      <w:rFonts w:hint="eastAsia"/>
                      <w:szCs w:val="21"/>
                    </w:rPr>
                    <w:t>全面加强无组织排放控制。重点对含 VOCs 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p>
                  <w:pPr>
                    <w:pStyle w:val="9"/>
                    <w:numPr>
                      <w:ilvl w:val="0"/>
                      <w:numId w:val="0"/>
                    </w:numPr>
                    <w:jc w:val="left"/>
                    <w:rPr>
                      <w:szCs w:val="21"/>
                    </w:rPr>
                  </w:pPr>
                  <w:r>
                    <w:rPr>
                      <w:rFonts w:hint="eastAsia"/>
                      <w:szCs w:val="21"/>
                    </w:rPr>
                    <w:t>（三）推进建设适宜高效的治污设施。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 VOCs 浓度后净化处理；高浓度废气，优先进行溶剂回收，难以回收的，宜采用高温焚烧、催化燃烧等技术。</w:t>
                  </w:r>
                </w:p>
                <w:p>
                  <w:pPr>
                    <w:pStyle w:val="9"/>
                    <w:numPr>
                      <w:ilvl w:val="0"/>
                      <w:numId w:val="0"/>
                    </w:numPr>
                    <w:jc w:val="left"/>
                    <w:rPr>
                      <w:szCs w:val="21"/>
                    </w:rPr>
                  </w:pPr>
                  <w:r>
                    <w:rPr>
                      <w:rFonts w:hint="eastAsia"/>
                      <w:szCs w:val="21"/>
                    </w:rPr>
                    <w:t>油气（溶剂）回收宜采用冷凝+吸附、吸附+吸收、膜分离+吸附等技术。低温等离子、光催化、静电除油化技术主要适用于恶臭异味等治理；生物法主要适用于低浓度 VOCs 废气治理和恶臭异味治理。非水溶性的 VOCs 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tc>
              <w:tc>
                <w:tcPr>
                  <w:tcW w:w="2025" w:type="dxa"/>
                  <w:vMerge w:val="continue"/>
                  <w:tcBorders>
                    <w:tl2br w:val="nil"/>
                    <w:tr2bl w:val="nil"/>
                  </w:tcBorders>
                  <w:vAlign w:val="center"/>
                </w:tcPr>
                <w:p>
                  <w:pPr>
                    <w:pStyle w:val="9"/>
                    <w:numPr>
                      <w:ilvl w:val="0"/>
                      <w:numId w:val="0"/>
                    </w:numPr>
                    <w:jc w:val="left"/>
                    <w:rPr>
                      <w:szCs w:val="21"/>
                    </w:rPr>
                  </w:pPr>
                </w:p>
              </w:tc>
              <w:tc>
                <w:tcPr>
                  <w:tcW w:w="704" w:type="dxa"/>
                  <w:vMerge w:val="continue"/>
                  <w:tcBorders>
                    <w:tl2br w:val="nil"/>
                    <w:tr2bl w:val="nil"/>
                  </w:tcBorders>
                  <w:vAlign w:val="center"/>
                </w:tcPr>
                <w:p>
                  <w:pPr>
                    <w:pStyle w:val="9"/>
                    <w:numPr>
                      <w:ilvl w:val="0"/>
                      <w:numId w:val="0"/>
                    </w:num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l2br w:val="nil"/>
                    <w:tr2bl w:val="nil"/>
                  </w:tcBorders>
                  <w:vAlign w:val="center"/>
                </w:tcPr>
                <w:p>
                  <w:pPr>
                    <w:pStyle w:val="9"/>
                    <w:numPr>
                      <w:ilvl w:val="0"/>
                      <w:numId w:val="0"/>
                    </w:numPr>
                    <w:jc w:val="center"/>
                    <w:rPr>
                      <w:rFonts w:hint="eastAsia"/>
                      <w:szCs w:val="21"/>
                    </w:rPr>
                  </w:pPr>
                  <w:r>
                    <w:rPr>
                      <w:rFonts w:hint="eastAsia"/>
                      <w:szCs w:val="21"/>
                    </w:rPr>
                    <w:t>《关于印发江苏省重点行业挥发性有机物污染控制指南的通知》</w:t>
                  </w:r>
                </w:p>
              </w:tc>
              <w:tc>
                <w:tcPr>
                  <w:tcW w:w="3413" w:type="dxa"/>
                  <w:tcBorders>
                    <w:tl2br w:val="nil"/>
                    <w:tr2bl w:val="nil"/>
                  </w:tcBorders>
                  <w:vAlign w:val="center"/>
                </w:tcPr>
                <w:p>
                  <w:pPr>
                    <w:pStyle w:val="9"/>
                    <w:numPr>
                      <w:ilvl w:val="0"/>
                      <w:numId w:val="0"/>
                    </w:numPr>
                    <w:jc w:val="left"/>
                    <w:rPr>
                      <w:rFonts w:hint="eastAsia"/>
                      <w:szCs w:val="21"/>
                    </w:rPr>
                  </w:pPr>
                  <w:r>
                    <w:rPr>
                      <w:rFonts w:hint="eastAsia"/>
                      <w:szCs w:val="21"/>
                    </w:rPr>
                    <w:t>指南规定：“①所有产生有机废气污染的企业，应优先采用环保型原辅料、生产工艺和装备，对相应生产单元或设施进行密闭，从源头控制VOCs的产生，减少废气污染物排放。②鼓励对排放的VOCs进行回收利用，并优先在生产系统内回用。对浓度、性状差异较大的废气应分类收集，并采用适宜的方式进行有效处理，确保VOCs 总去除率满足管理要求，其中有机化工、医药化工、橡胶和塑料制品(有机溶剂浸胶工艺溶剂型涂料表面涂装、包装印刷业的VOCs总收集、净化处理率均不低于90%，其他行业原则上不低于75%”。</w:t>
                  </w:r>
                </w:p>
              </w:tc>
              <w:tc>
                <w:tcPr>
                  <w:tcW w:w="2025" w:type="dxa"/>
                  <w:tcBorders>
                    <w:tl2br w:val="nil"/>
                    <w:tr2bl w:val="nil"/>
                  </w:tcBorders>
                  <w:vAlign w:val="center"/>
                </w:tcPr>
                <w:p>
                  <w:pPr>
                    <w:pStyle w:val="9"/>
                    <w:numPr>
                      <w:ilvl w:val="0"/>
                      <w:numId w:val="0"/>
                    </w:numPr>
                    <w:jc w:val="left"/>
                    <w:rPr>
                      <w:szCs w:val="21"/>
                    </w:rPr>
                  </w:pPr>
                  <w:r>
                    <w:rPr>
                      <w:szCs w:val="21"/>
                    </w:rPr>
                    <w:t>本项目为</w:t>
                  </w:r>
                  <w:r>
                    <w:rPr>
                      <w:rFonts w:hint="eastAsia"/>
                      <w:szCs w:val="21"/>
                      <w:lang w:eastAsia="zh-CN"/>
                    </w:rPr>
                    <w:t>C2921塑料薄膜制造</w:t>
                  </w:r>
                  <w:r>
                    <w:rPr>
                      <w:szCs w:val="21"/>
                    </w:rPr>
                    <w:t>，本项目排放有机废气的工艺收集、净化处理效率均不低于75%</w:t>
                  </w:r>
                </w:p>
              </w:tc>
              <w:tc>
                <w:tcPr>
                  <w:tcW w:w="704" w:type="dxa"/>
                  <w:tcBorders>
                    <w:tl2br w:val="nil"/>
                    <w:tr2bl w:val="nil"/>
                  </w:tcBorders>
                  <w:vAlign w:val="center"/>
                </w:tcPr>
                <w:p>
                  <w:pPr>
                    <w:pStyle w:val="9"/>
                    <w:numPr>
                      <w:ilvl w:val="0"/>
                      <w:numId w:val="0"/>
                    </w:num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2" w:type="dxa"/>
                  <w:tcBorders>
                    <w:tl2br w:val="nil"/>
                    <w:tr2bl w:val="nil"/>
                  </w:tcBorders>
                  <w:vAlign w:val="center"/>
                </w:tcPr>
                <w:p>
                  <w:pPr>
                    <w:pStyle w:val="9"/>
                    <w:numPr>
                      <w:ilvl w:val="0"/>
                      <w:numId w:val="0"/>
                    </w:numPr>
                    <w:jc w:val="center"/>
                    <w:rPr>
                      <w:rFonts w:hint="eastAsia" w:ascii="Times New Roman" w:hAnsi="Times New Roman" w:cs="Times New Roman"/>
                      <w:szCs w:val="21"/>
                    </w:rPr>
                  </w:pPr>
                  <w:r>
                    <w:rPr>
                      <w:rFonts w:hint="eastAsia" w:ascii="Times New Roman" w:hAnsi="Times New Roman" w:cs="Times New Roman"/>
                      <w:szCs w:val="21"/>
                    </w:rPr>
                    <w:t>《关于印发&lt; 重点行业挥发性有机物综合治理方案&gt;的通知》</w:t>
                  </w:r>
                </w:p>
              </w:tc>
              <w:tc>
                <w:tcPr>
                  <w:tcW w:w="3413" w:type="dxa"/>
                  <w:tcBorders>
                    <w:tl2br w:val="nil"/>
                    <w:tr2bl w:val="nil"/>
                  </w:tcBorders>
                  <w:vAlign w:val="center"/>
                </w:tcPr>
                <w:p>
                  <w:pPr>
                    <w:pStyle w:val="9"/>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“加快推进石化行业、化工行业、工业涂装、包装印刷行业、油品储运销、工业园区和产业集群 6 个重点行业的治理任务；加大源头替代力度，减少VOCs 产生；含VOCs物料生产和使用过程， 应采取有效收集措施或在密闭空间中操作。</w:t>
                  </w:r>
                </w:p>
              </w:tc>
              <w:tc>
                <w:tcPr>
                  <w:tcW w:w="2025" w:type="dxa"/>
                  <w:vMerge w:val="restart"/>
                  <w:tcBorders>
                    <w:tl2br w:val="nil"/>
                    <w:tr2bl w:val="nil"/>
                  </w:tcBorders>
                  <w:vAlign w:val="center"/>
                </w:tcPr>
                <w:p>
                  <w:pPr>
                    <w:pStyle w:val="9"/>
                    <w:numPr>
                      <w:ilvl w:val="0"/>
                      <w:numId w:val="0"/>
                    </w:numPr>
                    <w:jc w:val="left"/>
                    <w:rPr>
                      <w:rFonts w:hint="eastAsia" w:eastAsia="宋体"/>
                      <w:szCs w:val="21"/>
                      <w:lang w:eastAsia="zh-CN"/>
                    </w:rPr>
                  </w:pPr>
                  <w:r>
                    <w:rPr>
                      <w:szCs w:val="21"/>
                    </w:rPr>
                    <w:t>本项目为</w:t>
                  </w:r>
                  <w:r>
                    <w:rPr>
                      <w:rFonts w:hint="eastAsia"/>
                      <w:szCs w:val="21"/>
                      <w:lang w:eastAsia="zh-CN"/>
                    </w:rPr>
                    <w:t>C2921塑料薄膜制造</w:t>
                  </w:r>
                  <w:r>
                    <w:rPr>
                      <w:szCs w:val="21"/>
                    </w:rPr>
                    <w:t>，本项目</w:t>
                  </w:r>
                  <w:r>
                    <w:rPr>
                      <w:rFonts w:hint="eastAsia"/>
                      <w:szCs w:val="21"/>
                      <w:lang w:val="en-US" w:eastAsia="zh-CN"/>
                    </w:rPr>
                    <w:t>吹塑、制袋、烫袋</w:t>
                  </w:r>
                  <w:r>
                    <w:rPr>
                      <w:szCs w:val="21"/>
                    </w:rPr>
                    <w:t>工序产生的</w:t>
                  </w:r>
                  <w:r>
                    <w:rPr>
                      <w:rFonts w:hint="eastAsia"/>
                      <w:szCs w:val="21"/>
                      <w:lang w:val="en-US" w:eastAsia="zh-CN"/>
                    </w:rPr>
                    <w:t>废气</w:t>
                  </w:r>
                  <w:r>
                    <w:rPr>
                      <w:rFonts w:hint="eastAsia"/>
                      <w:szCs w:val="21"/>
                    </w:rPr>
                    <w:t>经管道负压收集后，进1套“二级活性炭吸附装置”（TA001）处理</w:t>
                  </w:r>
                  <w:r>
                    <w:rPr>
                      <w:rFonts w:hint="eastAsia"/>
                      <w:szCs w:val="21"/>
                      <w:lang w:val="en-US" w:eastAsia="zh-CN"/>
                    </w:rPr>
                    <w:t>后</w:t>
                  </w:r>
                  <w:r>
                    <w:rPr>
                      <w:rFonts w:hint="eastAsia"/>
                      <w:szCs w:val="21"/>
                    </w:rPr>
                    <w:t>通过1根15m高的</w:t>
                  </w:r>
                  <w:r>
                    <w:rPr>
                      <w:rFonts w:hint="eastAsia"/>
                      <w:szCs w:val="21"/>
                      <w:lang w:val="en-US" w:eastAsia="zh-CN"/>
                    </w:rPr>
                    <w:t>DA001</w:t>
                  </w:r>
                  <w:r>
                    <w:rPr>
                      <w:rFonts w:hint="eastAsia"/>
                      <w:szCs w:val="21"/>
                    </w:rPr>
                    <w:t>排气筒排放</w:t>
                  </w:r>
                  <w:r>
                    <w:rPr>
                      <w:rFonts w:hint="eastAsia"/>
                      <w:szCs w:val="21"/>
                      <w:lang w:eastAsia="zh-CN"/>
                    </w:rPr>
                    <w:t>。</w:t>
                  </w:r>
                  <w:r>
                    <w:rPr>
                      <w:rFonts w:hint="eastAsia"/>
                      <w:szCs w:val="21"/>
                    </w:rPr>
                    <w:t>生产时车间密闭，从源头控制VOCs 的产生，减少废气污染物排放</w:t>
                  </w:r>
                  <w:r>
                    <w:rPr>
                      <w:rFonts w:hint="eastAsia"/>
                      <w:szCs w:val="21"/>
                      <w:lang w:eastAsia="zh-CN"/>
                    </w:rPr>
                    <w:t>，</w:t>
                  </w:r>
                  <w:r>
                    <w:rPr>
                      <w:szCs w:val="21"/>
                    </w:rPr>
                    <w:t>有组织达标排放</w:t>
                  </w:r>
                  <w:r>
                    <w:rPr>
                      <w:rFonts w:hint="eastAsia"/>
                      <w:szCs w:val="21"/>
                      <w:lang w:eastAsia="zh-CN"/>
                    </w:rPr>
                    <w:t>。</w:t>
                  </w:r>
                </w:p>
              </w:tc>
              <w:tc>
                <w:tcPr>
                  <w:tcW w:w="704" w:type="dxa"/>
                  <w:vMerge w:val="restart"/>
                  <w:tcBorders>
                    <w:tl2br w:val="nil"/>
                    <w:tr2bl w:val="nil"/>
                  </w:tcBorders>
                  <w:vAlign w:val="center"/>
                </w:tcPr>
                <w:p>
                  <w:pPr>
                    <w:pStyle w:val="9"/>
                    <w:numPr>
                      <w:ilvl w:val="0"/>
                      <w:numId w:val="0"/>
                    </w:numPr>
                    <w:jc w:val="center"/>
                    <w:rPr>
                      <w:rFonts w:hint="eastAsia" w:eastAsia="宋体"/>
                      <w:szCs w:val="21"/>
                      <w:lang w:val="en-US" w:eastAsia="zh-CN"/>
                    </w:rPr>
                  </w:pPr>
                  <w:r>
                    <w:rPr>
                      <w:rFonts w:hint="eastAsia"/>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852" w:type="dxa"/>
                  <w:tcBorders>
                    <w:tl2br w:val="nil"/>
                    <w:tr2bl w:val="nil"/>
                  </w:tcBorders>
                  <w:vAlign w:val="center"/>
                </w:tcPr>
                <w:p>
                  <w:pPr>
                    <w:pStyle w:val="9"/>
                    <w:numPr>
                      <w:ilvl w:val="0"/>
                      <w:numId w:val="0"/>
                    </w:numPr>
                    <w:jc w:val="center"/>
                    <w:rPr>
                      <w:rFonts w:hint="eastAsia" w:ascii="Times New Roman" w:hAnsi="Times New Roman" w:cs="Times New Roman"/>
                      <w:szCs w:val="21"/>
                    </w:rPr>
                  </w:pPr>
                  <w:r>
                    <w:rPr>
                      <w:rFonts w:hint="eastAsia" w:ascii="Times New Roman" w:hAnsi="Times New Roman" w:cs="Times New Roman"/>
                      <w:szCs w:val="21"/>
                    </w:rPr>
                    <w:t>《关于加快解决当前挥发性有机物治理突出问题的通知》</w:t>
                  </w:r>
                </w:p>
              </w:tc>
              <w:tc>
                <w:tcPr>
                  <w:tcW w:w="3413" w:type="dxa"/>
                  <w:tcBorders>
                    <w:tl2br w:val="nil"/>
                    <w:tr2bl w:val="nil"/>
                  </w:tcBorders>
                  <w:vAlign w:val="center"/>
                </w:tcPr>
                <w:p>
                  <w:pPr>
                    <w:pStyle w:val="9"/>
                    <w:numPr>
                      <w:ilvl w:val="0"/>
                      <w:numId w:val="0"/>
                    </w:num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各地要以石油炼制、石油化工、合成树脂等石化行业，有机化工、煤化工、焦化（含兰炭）、制药、农药、涂料、油墨、胶粘剂等化工行业，涉及工业涂装的汽车、家具、零部件、钢结构、彩涂板等行业，包装印刷行业以及油品储运销为重点，并结合本地特色产业，组织企业针对挥发性有机液体储罐、装卸、敞开液面、泄漏检测与修复（LDAR）、废气收集、废气旁路、治理设施、加油站、非正常工况、产品VOCs含量等10个关键环节，认真对照大气污染防治法、排污许可证、相关排放标准和产品 VOCs 含量限值标准等开展排查整治</w:t>
                  </w:r>
                </w:p>
              </w:tc>
              <w:tc>
                <w:tcPr>
                  <w:tcW w:w="2025" w:type="dxa"/>
                  <w:vMerge w:val="continue"/>
                  <w:tcBorders>
                    <w:tl2br w:val="nil"/>
                    <w:tr2bl w:val="nil"/>
                  </w:tcBorders>
                  <w:vAlign w:val="center"/>
                </w:tcPr>
                <w:p>
                  <w:pPr>
                    <w:pStyle w:val="9"/>
                    <w:numPr>
                      <w:ilvl w:val="0"/>
                      <w:numId w:val="0"/>
                    </w:numPr>
                    <w:jc w:val="left"/>
                    <w:rPr>
                      <w:szCs w:val="21"/>
                    </w:rPr>
                  </w:pPr>
                </w:p>
              </w:tc>
              <w:tc>
                <w:tcPr>
                  <w:tcW w:w="704" w:type="dxa"/>
                  <w:vMerge w:val="continue"/>
                  <w:tcBorders>
                    <w:tl2br w:val="nil"/>
                    <w:tr2bl w:val="nil"/>
                  </w:tcBorders>
                  <w:vAlign w:val="center"/>
                </w:tcPr>
                <w:p>
                  <w:pPr>
                    <w:pStyle w:val="9"/>
                    <w:numPr>
                      <w:ilvl w:val="0"/>
                      <w:numId w:val="0"/>
                    </w:num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l2br w:val="nil"/>
                    <w:tr2bl w:val="nil"/>
                  </w:tcBorders>
                  <w:vAlign w:val="center"/>
                </w:tcPr>
                <w:p>
                  <w:pPr>
                    <w:pStyle w:val="9"/>
                    <w:numPr>
                      <w:ilvl w:val="0"/>
                      <w:numId w:val="0"/>
                    </w:numPr>
                    <w:jc w:val="center"/>
                    <w:rPr>
                      <w:szCs w:val="21"/>
                    </w:rPr>
                  </w:pPr>
                  <w:r>
                    <w:rPr>
                      <w:szCs w:val="21"/>
                    </w:rPr>
                    <w:t>关于印发《深入打好重污染天气消除、臭氧污染防治和柴油货车污染治理攻坚战行动方案》</w:t>
                  </w:r>
                </w:p>
              </w:tc>
              <w:tc>
                <w:tcPr>
                  <w:tcW w:w="3413" w:type="dxa"/>
                  <w:tcBorders>
                    <w:tl2br w:val="nil"/>
                    <w:tr2bl w:val="nil"/>
                  </w:tcBorders>
                  <w:vAlign w:val="center"/>
                </w:tcPr>
                <w:p>
                  <w:pPr>
                    <w:pStyle w:val="9"/>
                    <w:numPr>
                      <w:ilvl w:val="0"/>
                      <w:numId w:val="0"/>
                    </w:numPr>
                    <w:jc w:val="left"/>
                    <w:rPr>
                      <w:szCs w:val="21"/>
                    </w:rPr>
                  </w:pPr>
                  <w:r>
                    <w:rPr>
                      <w:szCs w:val="21"/>
                    </w:rPr>
                    <w:t>强化挥发性有机物（VOCs）、氮氧化 物等多污染物协同减排，以石化、化工、涂装、制药、包装印刷和油品储运销等为重点，加强VOCs源头、过程、末端全流程治理；持续推进钢铁行业超低排放改造，出台焦化、水泥行业超低排放改造方案；开展低效治理设施全面提升改造工程。严把治理工程质量，多措并举治理低价中标乱象，对工程质量低 劣、环保设施运营管理水平低甚至存在弄虚作假行为的企业、环保公司和运维机构加大联合惩戒力度。统筹做好大气污染防治过程中安全防范工作。</w:t>
                  </w:r>
                </w:p>
              </w:tc>
              <w:tc>
                <w:tcPr>
                  <w:tcW w:w="2025" w:type="dxa"/>
                  <w:vMerge w:val="continue"/>
                  <w:tcBorders>
                    <w:tl2br w:val="nil"/>
                    <w:tr2bl w:val="nil"/>
                  </w:tcBorders>
                  <w:vAlign w:val="center"/>
                </w:tcPr>
                <w:p>
                  <w:pPr>
                    <w:pStyle w:val="9"/>
                    <w:numPr>
                      <w:ilvl w:val="0"/>
                      <w:numId w:val="0"/>
                    </w:numPr>
                    <w:jc w:val="left"/>
                    <w:rPr>
                      <w:szCs w:val="21"/>
                    </w:rPr>
                  </w:pPr>
                </w:p>
              </w:tc>
              <w:tc>
                <w:tcPr>
                  <w:tcW w:w="704" w:type="dxa"/>
                  <w:vMerge w:val="continue"/>
                  <w:tcBorders>
                    <w:tl2br w:val="nil"/>
                    <w:tr2bl w:val="nil"/>
                  </w:tcBorders>
                  <w:vAlign w:val="center"/>
                </w:tcPr>
                <w:p>
                  <w:pPr>
                    <w:pStyle w:val="9"/>
                    <w:numPr>
                      <w:ilvl w:val="0"/>
                      <w:numId w:val="0"/>
                    </w:numPr>
                    <w:jc w:val="center"/>
                    <w:rPr>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l2br w:val="nil"/>
                    <w:tr2bl w:val="nil"/>
                  </w:tcBorders>
                  <w:vAlign w:val="center"/>
                </w:tcPr>
                <w:p>
                  <w:pPr>
                    <w:pStyle w:val="9"/>
                    <w:numPr>
                      <w:ilvl w:val="0"/>
                      <w:numId w:val="0"/>
                    </w:numPr>
                    <w:jc w:val="center"/>
                    <w:rPr>
                      <w:szCs w:val="21"/>
                    </w:rPr>
                  </w:pPr>
                  <w:r>
                    <w:rPr>
                      <w:rFonts w:hint="eastAsia"/>
                      <w:szCs w:val="21"/>
                    </w:rPr>
                    <w:t>《挥发性有机物无组织排放控制标准》</w:t>
                  </w:r>
                </w:p>
              </w:tc>
              <w:tc>
                <w:tcPr>
                  <w:tcW w:w="3413" w:type="dxa"/>
                  <w:tcBorders>
                    <w:tl2br w:val="nil"/>
                    <w:tr2bl w:val="nil"/>
                  </w:tcBorders>
                  <w:vAlign w:val="center"/>
                </w:tcPr>
                <w:p>
                  <w:pPr>
                    <w:pStyle w:val="9"/>
                    <w:numPr>
                      <w:ilvl w:val="0"/>
                      <w:numId w:val="0"/>
                    </w:numPr>
                    <w:jc w:val="left"/>
                    <w:rPr>
                      <w:szCs w:val="21"/>
                    </w:rPr>
                  </w:pPr>
                  <w:r>
                    <w:rPr>
                      <w:rFonts w:hint="eastAsia"/>
                      <w:szCs w:val="21"/>
                      <w:lang w:val="en-US" w:eastAsia="zh-CN"/>
                    </w:rPr>
                    <w:t>1、</w:t>
                  </w:r>
                  <w:r>
                    <w:rPr>
                      <w:rFonts w:hint="eastAsia"/>
                      <w:szCs w:val="21"/>
                    </w:rPr>
                    <w:t>VOCs 废气收集处理系统应与生产工艺设备同步运行。</w:t>
                  </w:r>
                </w:p>
                <w:p>
                  <w:pPr>
                    <w:spacing w:beforeLines="0" w:afterLines="0"/>
                    <w:jc w:val="left"/>
                    <w:rPr>
                      <w:szCs w:val="21"/>
                    </w:rPr>
                  </w:pPr>
                  <w:r>
                    <w:rPr>
                      <w:rFonts w:hint="eastAsia"/>
                      <w:szCs w:val="21"/>
                      <w:lang w:val="en-US" w:eastAsia="zh-CN"/>
                    </w:rPr>
                    <w:t>2、</w:t>
                  </w:r>
                  <w:r>
                    <w:rPr>
                      <w:rFonts w:hint="eastAsia" w:ascii="TimesNewRomanPSMT" w:hAnsi="TimesNewRomanPSMT" w:eastAsia="TimesNewRomanPSMT"/>
                      <w:sz w:val="21"/>
                    </w:rPr>
                    <w:t xml:space="preserve">VOCs </w:t>
                  </w:r>
                  <w:r>
                    <w:rPr>
                      <w:rFonts w:hint="eastAsia" w:ascii="宋体" w:hAnsi="宋体" w:eastAsia="宋体"/>
                      <w:sz w:val="21"/>
                    </w:rPr>
                    <w:t>废气收集处理系统污染物排放应符合</w:t>
                  </w:r>
                  <w:r>
                    <w:rPr>
                      <w:rFonts w:hint="eastAsia" w:ascii="TimesNewRomanPSMT" w:hAnsi="TimesNewRomanPSMT" w:eastAsia="TimesNewRomanPSMT"/>
                      <w:sz w:val="21"/>
                    </w:rPr>
                    <w:t xml:space="preserve">GB16297 </w:t>
                  </w:r>
                  <w:r>
                    <w:rPr>
                      <w:rFonts w:hint="eastAsia" w:ascii="宋体" w:hAnsi="宋体" w:eastAsia="宋体"/>
                      <w:sz w:val="21"/>
                    </w:rPr>
                    <w:t>或相关行业排放标准的规定</w:t>
                  </w:r>
                  <w:r>
                    <w:rPr>
                      <w:rFonts w:hint="eastAsia"/>
                      <w:szCs w:val="21"/>
                    </w:rPr>
                    <w:t>。</w:t>
                  </w:r>
                </w:p>
                <w:p>
                  <w:pPr>
                    <w:spacing w:beforeLines="0" w:afterLines="0"/>
                    <w:jc w:val="left"/>
                    <w:rPr>
                      <w:szCs w:val="21"/>
                    </w:rPr>
                  </w:pPr>
                  <w:r>
                    <w:rPr>
                      <w:rFonts w:hint="eastAsia"/>
                      <w:szCs w:val="21"/>
                      <w:lang w:val="en-US" w:eastAsia="zh-CN"/>
                    </w:rPr>
                    <w:t>3、</w:t>
                  </w:r>
                  <w:r>
                    <w:rPr>
                      <w:rFonts w:hint="eastAsia" w:ascii="宋体" w:hAnsi="宋体" w:eastAsia="宋体"/>
                      <w:sz w:val="21"/>
                    </w:rPr>
                    <w:t>对于重点地区，收集的废气中</w:t>
                  </w:r>
                  <w:r>
                    <w:rPr>
                      <w:rFonts w:hint="eastAsia" w:ascii="TimesNewRomanPSMT" w:hAnsi="TimesNewRomanPSMT" w:eastAsia="TimesNewRomanPSMT"/>
                      <w:sz w:val="21"/>
                    </w:rPr>
                    <w:t>NMHC</w:t>
                  </w:r>
                  <w:r>
                    <w:rPr>
                      <w:rFonts w:hint="eastAsia" w:ascii="宋体" w:hAnsi="宋体" w:eastAsia="宋体"/>
                      <w:sz w:val="21"/>
                    </w:rPr>
                    <w:t>初始排放速率</w:t>
                  </w:r>
                  <w:r>
                    <w:rPr>
                      <w:rFonts w:hint="eastAsia" w:ascii="TimesNewRomanPSMT" w:hAnsi="TimesNewRomanPSMT" w:eastAsia="TimesNewRomanPSMT"/>
                      <w:sz w:val="21"/>
                    </w:rPr>
                    <w:t>≥2kg/h</w:t>
                  </w:r>
                  <w:r>
                    <w:rPr>
                      <w:rFonts w:hint="eastAsia" w:ascii="宋体" w:hAnsi="宋体" w:eastAsia="宋体"/>
                      <w:sz w:val="21"/>
                    </w:rPr>
                    <w:t>时，应配置</w:t>
                  </w:r>
                  <w:r>
                    <w:rPr>
                      <w:rFonts w:hint="eastAsia" w:ascii="TimesNewRomanPSMT" w:hAnsi="TimesNewRomanPSMT" w:eastAsia="TimesNewRomanPSMT"/>
                      <w:sz w:val="21"/>
                    </w:rPr>
                    <w:t>VOCs</w:t>
                  </w:r>
                  <w:r>
                    <w:rPr>
                      <w:rFonts w:hint="eastAsia" w:ascii="宋体" w:hAnsi="宋体" w:eastAsia="宋体"/>
                      <w:sz w:val="21"/>
                    </w:rPr>
                    <w:t>处理设施，处理效率不应低于</w:t>
                  </w:r>
                  <w:r>
                    <w:rPr>
                      <w:rFonts w:hint="eastAsia" w:ascii="TimesNewRomanPSMT" w:hAnsi="TimesNewRomanPSMT" w:eastAsia="TimesNewRomanPSMT"/>
                      <w:sz w:val="21"/>
                    </w:rPr>
                    <w:t>80%</w:t>
                  </w:r>
                  <w:r>
                    <w:rPr>
                      <w:rFonts w:hint="eastAsia"/>
                      <w:szCs w:val="21"/>
                    </w:rPr>
                    <w:t>。</w:t>
                  </w:r>
                </w:p>
              </w:tc>
              <w:tc>
                <w:tcPr>
                  <w:tcW w:w="2025" w:type="dxa"/>
                  <w:tcBorders>
                    <w:tl2br w:val="nil"/>
                    <w:tr2bl w:val="nil"/>
                  </w:tcBorders>
                  <w:vAlign w:val="center"/>
                </w:tcPr>
                <w:p>
                  <w:pPr>
                    <w:pStyle w:val="9"/>
                    <w:numPr>
                      <w:ilvl w:val="0"/>
                      <w:numId w:val="0"/>
                    </w:numPr>
                    <w:jc w:val="left"/>
                    <w:rPr>
                      <w:szCs w:val="21"/>
                    </w:rPr>
                  </w:pPr>
                  <w:r>
                    <w:rPr>
                      <w:rFonts w:hint="eastAsia"/>
                      <w:szCs w:val="21"/>
                    </w:rPr>
                    <w:t>本项目VOCs 废气收集处理系统与生产装置同步建设和运行。经估算，VOCs 废气收集处理系统污染物排放能够符合《合成树脂工业污染物排放标准》（GB31572-2015）中限值要求。本项目收集的有机废气初始排放速率＜2kg/h，VOCs处理设施设计处理效率均不低于80%。</w:t>
                  </w:r>
                </w:p>
              </w:tc>
              <w:tc>
                <w:tcPr>
                  <w:tcW w:w="704" w:type="dxa"/>
                  <w:tcBorders>
                    <w:tl2br w:val="nil"/>
                    <w:tr2bl w:val="nil"/>
                  </w:tcBorders>
                  <w:vAlign w:val="center"/>
                </w:tcPr>
                <w:p>
                  <w:pPr>
                    <w:pStyle w:val="9"/>
                    <w:numPr>
                      <w:ilvl w:val="0"/>
                      <w:numId w:val="0"/>
                    </w:numPr>
                    <w:jc w:val="center"/>
                    <w:rPr>
                      <w:szCs w:val="21"/>
                    </w:rPr>
                  </w:pPr>
                  <w:r>
                    <w:rPr>
                      <w:rFonts w:hint="eastAsia"/>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l2br w:val="nil"/>
                    <w:tr2bl w:val="nil"/>
                  </w:tcBorders>
                  <w:vAlign w:val="center"/>
                </w:tcPr>
                <w:p>
                  <w:pPr>
                    <w:pStyle w:val="9"/>
                    <w:numPr>
                      <w:ilvl w:val="0"/>
                      <w:numId w:val="0"/>
                    </w:numPr>
                    <w:jc w:val="center"/>
                    <w:rPr>
                      <w:rFonts w:hint="eastAsia" w:eastAsia="宋体"/>
                      <w:szCs w:val="21"/>
                      <w:lang w:eastAsia="zh-CN"/>
                    </w:rPr>
                  </w:pPr>
                  <w:r>
                    <w:rPr>
                      <w:rFonts w:hint="eastAsia"/>
                      <w:szCs w:val="21"/>
                    </w:rPr>
                    <w:t>《省生态环境厅关于推进生态环境保护与安全生产联动工作的通知》</w:t>
                  </w:r>
                  <w:r>
                    <w:rPr>
                      <w:rFonts w:hint="eastAsia"/>
                      <w:szCs w:val="21"/>
                      <w:lang w:eastAsia="zh-CN"/>
                    </w:rPr>
                    <w:t>、《关于做好生态环境和应急管理部门联动工作的意见》</w:t>
                  </w:r>
                </w:p>
              </w:tc>
              <w:tc>
                <w:tcPr>
                  <w:tcW w:w="3413" w:type="dxa"/>
                  <w:tcBorders>
                    <w:tl2br w:val="nil"/>
                    <w:tr2bl w:val="nil"/>
                  </w:tcBorders>
                  <w:vAlign w:val="center"/>
                </w:tcPr>
                <w:p>
                  <w:pPr>
                    <w:pStyle w:val="9"/>
                    <w:numPr>
                      <w:ilvl w:val="0"/>
                      <w:numId w:val="0"/>
                    </w:numPr>
                    <w:jc w:val="left"/>
                    <w:rPr>
                      <w:rFonts w:hint="default"/>
                      <w:szCs w:val="21"/>
                      <w:lang w:val="en-US" w:eastAsia="zh-CN"/>
                    </w:rPr>
                  </w:pPr>
                  <w:r>
                    <w:rPr>
                      <w:rFonts w:hint="eastAsia"/>
                      <w:szCs w:val="21"/>
                      <w:lang w:val="en-US" w:eastAsia="zh-CN"/>
                    </w:rPr>
                    <w:t>1、建立危险废物监管联动机制</w:t>
                  </w:r>
                </w:p>
                <w:p>
                  <w:pPr>
                    <w:pStyle w:val="9"/>
                    <w:numPr>
                      <w:ilvl w:val="0"/>
                      <w:numId w:val="0"/>
                    </w:numPr>
                    <w:jc w:val="left"/>
                    <w:rPr>
                      <w:rFonts w:hint="eastAsia"/>
                      <w:szCs w:val="21"/>
                    </w:rPr>
                  </w:pPr>
                  <w:r>
                    <w:rPr>
                      <w:rFonts w:hint="eastAsia"/>
                      <w:szCs w:val="21"/>
                    </w:rPr>
                    <w:t>企业法定代表人和实际控制人是企业废弃危险化学品等危险废物安全环保全过程管理的第一责任人。企业要切实履行好从危险废物产生、收集、贮存、运输、利用、处置等环节各项环保和安全职责；要制定危险废物管理计划并报属地生态环</w:t>
                  </w:r>
                </w:p>
                <w:p>
                  <w:pPr>
                    <w:pStyle w:val="9"/>
                    <w:numPr>
                      <w:ilvl w:val="0"/>
                      <w:numId w:val="0"/>
                    </w:numPr>
                    <w:jc w:val="left"/>
                    <w:rPr>
                      <w:rFonts w:hint="eastAsia"/>
                      <w:szCs w:val="21"/>
                    </w:rPr>
                  </w:pPr>
                  <w:r>
                    <w:rPr>
                      <w:rFonts w:hint="eastAsia"/>
                      <w:szCs w:val="21"/>
                    </w:rPr>
                    <w:t>境部门备案。申请备案时，对废弃危险化学品、物理危险性尚不确定、根据相关文件无法认定达到稳定化要求的,要提供有资质单位出具的化学品物理危险性报告及其他证明材料，认定达到稳定化要求。</w:t>
                  </w:r>
                </w:p>
                <w:p>
                  <w:pPr>
                    <w:pStyle w:val="9"/>
                    <w:numPr>
                      <w:ilvl w:val="0"/>
                      <w:numId w:val="0"/>
                    </w:numPr>
                    <w:jc w:val="left"/>
                    <w:rPr>
                      <w:rFonts w:hint="eastAsia"/>
                      <w:szCs w:val="21"/>
                    </w:rPr>
                  </w:pPr>
                  <w:r>
                    <w:rPr>
                      <w:rFonts w:hint="eastAsia"/>
                      <w:szCs w:val="21"/>
                    </w:rPr>
                    <w:t>生态环境部门依法对危险废物的收集、贮存、处置等进行监督管理。收到企业废弃危险化学品等危险废物管理计划后，对符合备案要求的，纳入危险废物管理。生态环境部门要将危险废物管理计划备案情况及时通报应急管理部门。</w:t>
                  </w:r>
                </w:p>
                <w:p>
                  <w:pPr>
                    <w:pStyle w:val="9"/>
                    <w:numPr>
                      <w:ilvl w:val="0"/>
                      <w:numId w:val="0"/>
                    </w:numPr>
                    <w:jc w:val="left"/>
                    <w:rPr>
                      <w:rFonts w:hint="eastAsia"/>
                      <w:szCs w:val="21"/>
                    </w:rPr>
                  </w:pPr>
                  <w:r>
                    <w:rPr>
                      <w:rFonts w:hint="eastAsia"/>
                      <w:szCs w:val="21"/>
                    </w:rPr>
                    <w:t>应急管理部门要督促企业加强安全生产工作,加强危险化学品企业中间产品、最终产品以及拟废弃危险化学品的安全管理。生态环境和应急管理部门对于被列入危险废物管理的上述物料，要共同加强安全监管。生态环境部门对日常环境监管过程中发现的安全隐患线索，及时移送同级应急管理部门；应急管理部门接到生态环境部门移送安全隐患线索的函后，应组织现场核查，依法依规查处，并督促企业将隐患整改到位。对于涉及安全和环保标准要求存在不一致的，要及时会商，</w:t>
                  </w:r>
                </w:p>
                <w:p>
                  <w:pPr>
                    <w:pStyle w:val="9"/>
                    <w:numPr>
                      <w:ilvl w:val="0"/>
                      <w:numId w:val="0"/>
                    </w:numPr>
                    <w:jc w:val="left"/>
                    <w:rPr>
                      <w:rFonts w:hint="eastAsia"/>
                      <w:szCs w:val="21"/>
                    </w:rPr>
                  </w:pPr>
                  <w:r>
                    <w:rPr>
                      <w:rFonts w:hint="eastAsia"/>
                      <w:szCs w:val="21"/>
                    </w:rPr>
                    <w:t>帮助企业解决。</w:t>
                  </w:r>
                </w:p>
                <w:p>
                  <w:pPr>
                    <w:pStyle w:val="9"/>
                    <w:numPr>
                      <w:ilvl w:val="0"/>
                      <w:numId w:val="0"/>
                    </w:numPr>
                    <w:jc w:val="left"/>
                    <w:rPr>
                      <w:rFonts w:hint="default"/>
                      <w:szCs w:val="21"/>
                      <w:lang w:val="en-US" w:eastAsia="zh-CN"/>
                    </w:rPr>
                  </w:pPr>
                  <w:r>
                    <w:rPr>
                      <w:rFonts w:hint="eastAsia"/>
                      <w:szCs w:val="21"/>
                      <w:lang w:val="en-US" w:eastAsia="zh-CN"/>
                    </w:rPr>
                    <w:t>2、建立环境治理设施监管联动机制</w:t>
                  </w:r>
                </w:p>
                <w:p>
                  <w:pPr>
                    <w:pStyle w:val="9"/>
                    <w:numPr>
                      <w:ilvl w:val="0"/>
                      <w:numId w:val="0"/>
                    </w:numPr>
                    <w:jc w:val="left"/>
                    <w:rPr>
                      <w:rFonts w:hint="eastAsia"/>
                      <w:szCs w:val="21"/>
                    </w:rPr>
                  </w:pPr>
                  <w:r>
                    <w:rPr>
                      <w:rFonts w:hint="eastAsia"/>
                      <w:szCs w:val="21"/>
                    </w:rPr>
                    <w:t>企业是各类环境治理设施建设、运行、维护、拆除的责任主体。企业要对脱硫脱硝、煤改气、挥发性有机物回收、污水处理、粉尘治理、RTO 焚烧炉等六类环境治理设施开展安全风险辨识管控，要</w:t>
                  </w:r>
                  <w:r>
                    <w:rPr>
                      <w:rFonts w:hint="eastAsia"/>
                      <w:szCs w:val="21"/>
                      <w:lang w:eastAsia="zh-CN"/>
                    </w:rPr>
                    <w:t>健全</w:t>
                  </w:r>
                  <w:r>
                    <w:rPr>
                      <w:rFonts w:hint="eastAsia"/>
                      <w:szCs w:val="21"/>
                    </w:rPr>
                    <w:t>污染防治设施稳定运行和管理责任</w:t>
                  </w:r>
                </w:p>
                <w:p>
                  <w:pPr>
                    <w:pStyle w:val="9"/>
                    <w:numPr>
                      <w:ilvl w:val="0"/>
                      <w:numId w:val="0"/>
                    </w:numPr>
                    <w:jc w:val="left"/>
                    <w:rPr>
                      <w:rFonts w:hint="eastAsia"/>
                      <w:szCs w:val="21"/>
                    </w:rPr>
                  </w:pPr>
                  <w:r>
                    <w:rPr>
                      <w:rFonts w:hint="eastAsia"/>
                      <w:szCs w:val="21"/>
                    </w:rPr>
                    <w:t>制度，严格依据标准规范建设环境治理设施，确保环境治理设施安全、稳定、有效运行。生态环境部门在上述六类环境治理设施的环评审批过程中，要督促企业开展安全风险辨识，并将已审批的环境治理设施项目及时通报应急管理部门。生态环境部门在日常环境监管中，将发现的安全隐患线索及时移送应急管理部门。</w:t>
                  </w:r>
                </w:p>
                <w:p>
                  <w:pPr>
                    <w:pStyle w:val="9"/>
                    <w:numPr>
                      <w:ilvl w:val="0"/>
                      <w:numId w:val="0"/>
                    </w:numPr>
                    <w:jc w:val="left"/>
                    <w:rPr>
                      <w:rFonts w:hint="eastAsia"/>
                      <w:szCs w:val="21"/>
                    </w:rPr>
                  </w:pPr>
                  <w:r>
                    <w:rPr>
                      <w:rFonts w:hint="eastAsia"/>
                      <w:szCs w:val="21"/>
                    </w:rPr>
                    <w:t>应急管理部门应当将上述六类环境治理设施纳入安全监管范围，推进企业安全生产标准化体系建设。对生态环境部门发现移送的安全隐患线索进行核查，督促企业进行整改，消除安全隐患。</w:t>
                  </w:r>
                </w:p>
              </w:tc>
              <w:tc>
                <w:tcPr>
                  <w:tcW w:w="2025" w:type="dxa"/>
                  <w:tcBorders>
                    <w:tl2br w:val="nil"/>
                    <w:tr2bl w:val="nil"/>
                  </w:tcBorders>
                  <w:vAlign w:val="center"/>
                </w:tcPr>
                <w:p>
                  <w:pPr>
                    <w:pStyle w:val="9"/>
                    <w:numPr>
                      <w:ilvl w:val="0"/>
                      <w:numId w:val="0"/>
                    </w:numPr>
                    <w:jc w:val="left"/>
                    <w:rPr>
                      <w:rFonts w:hint="eastAsia"/>
                      <w:kern w:val="0"/>
                      <w:szCs w:val="21"/>
                    </w:rPr>
                  </w:pPr>
                  <w:r>
                    <w:rPr>
                      <w:rFonts w:hint="eastAsia"/>
                      <w:kern w:val="0"/>
                      <w:szCs w:val="21"/>
                    </w:rPr>
                    <w:t>本项目企业法定代表人为危险废物安全环保全过程管理的第一责任人，危险废物暂存间按照《危</w:t>
                  </w:r>
                </w:p>
                <w:p>
                  <w:pPr>
                    <w:pStyle w:val="9"/>
                    <w:numPr>
                      <w:ilvl w:val="0"/>
                      <w:numId w:val="0"/>
                    </w:numPr>
                    <w:jc w:val="left"/>
                    <w:rPr>
                      <w:rFonts w:hint="eastAsia"/>
                      <w:kern w:val="0"/>
                      <w:szCs w:val="21"/>
                    </w:rPr>
                  </w:pPr>
                  <w:r>
                    <w:rPr>
                      <w:rFonts w:hint="eastAsia"/>
                      <w:kern w:val="0"/>
                      <w:szCs w:val="21"/>
                    </w:rPr>
                    <w:t>险废物贮存污染控制标准》</w:t>
                  </w:r>
                </w:p>
                <w:p>
                  <w:pPr>
                    <w:pStyle w:val="9"/>
                    <w:numPr>
                      <w:ilvl w:val="0"/>
                      <w:numId w:val="0"/>
                    </w:numPr>
                    <w:jc w:val="left"/>
                    <w:rPr>
                      <w:rFonts w:hint="eastAsia"/>
                      <w:kern w:val="0"/>
                      <w:szCs w:val="21"/>
                    </w:rPr>
                  </w:pPr>
                  <w:r>
                    <w:rPr>
                      <w:rFonts w:hint="eastAsia"/>
                      <w:kern w:val="0"/>
                      <w:szCs w:val="21"/>
                    </w:rPr>
                    <w:t>（GB18597-202</w:t>
                  </w:r>
                </w:p>
                <w:p>
                  <w:pPr>
                    <w:pStyle w:val="9"/>
                    <w:numPr>
                      <w:ilvl w:val="0"/>
                      <w:numId w:val="0"/>
                    </w:numPr>
                    <w:jc w:val="left"/>
                    <w:rPr>
                      <w:rFonts w:hint="eastAsia"/>
                      <w:kern w:val="0"/>
                      <w:szCs w:val="21"/>
                    </w:rPr>
                  </w:pPr>
                  <w:r>
                    <w:rPr>
                      <w:rFonts w:hint="eastAsia"/>
                      <w:kern w:val="0"/>
                      <w:szCs w:val="21"/>
                    </w:rPr>
                    <w:t>3）、《省生态环境厅关于印发&lt;江苏省固体废物全过程环境监管工作意见&gt;的通知》（苏环办</w:t>
                  </w:r>
                </w:p>
                <w:p>
                  <w:pPr>
                    <w:pStyle w:val="9"/>
                    <w:numPr>
                      <w:ilvl w:val="0"/>
                      <w:numId w:val="0"/>
                    </w:numPr>
                    <w:jc w:val="left"/>
                    <w:rPr>
                      <w:rFonts w:hint="eastAsia"/>
                      <w:kern w:val="0"/>
                      <w:szCs w:val="21"/>
                    </w:rPr>
                  </w:pPr>
                  <w:r>
                    <w:rPr>
                      <w:rFonts w:hint="eastAsia"/>
                      <w:kern w:val="0"/>
                      <w:szCs w:val="21"/>
                    </w:rPr>
                    <w:t>〔2024〕16号）要求设置，危险废物暂存于暂存间，委托有资质单位处置。制定危险废物管理计划，并报属地生态环境部门备案。本项目采用二级活性炭吸附装置处理废气，需开展安全风险辨识管控，健全内部污染防</w:t>
                  </w:r>
                </w:p>
                <w:p>
                  <w:pPr>
                    <w:spacing w:beforeLines="0" w:afterLines="0"/>
                    <w:jc w:val="left"/>
                    <w:rPr>
                      <w:kern w:val="0"/>
                      <w:szCs w:val="21"/>
                    </w:rPr>
                  </w:pPr>
                  <w:r>
                    <w:rPr>
                      <w:rFonts w:hint="eastAsia"/>
                      <w:kern w:val="0"/>
                      <w:szCs w:val="21"/>
                    </w:rPr>
                    <w:t>治设施稳定运行和管理责任制度，严格依据标准规范建设环境治理设施，确保</w:t>
                  </w:r>
                  <w:r>
                    <w:rPr>
                      <w:rFonts w:hint="eastAsia" w:ascii="宋体" w:hAnsi="宋体" w:eastAsia="宋体"/>
                      <w:sz w:val="21"/>
                    </w:rPr>
                    <w:t>环境治理设施安全、稳定、有效运行。</w:t>
                  </w:r>
                </w:p>
              </w:tc>
              <w:tc>
                <w:tcPr>
                  <w:tcW w:w="704" w:type="dxa"/>
                  <w:tcBorders>
                    <w:tl2br w:val="nil"/>
                    <w:tr2bl w:val="nil"/>
                  </w:tcBorders>
                  <w:vAlign w:val="center"/>
                </w:tcPr>
                <w:p>
                  <w:pPr>
                    <w:pStyle w:val="9"/>
                    <w:numPr>
                      <w:ilvl w:val="0"/>
                      <w:numId w:val="0"/>
                    </w:numPr>
                    <w:jc w:val="center"/>
                    <w:rPr>
                      <w:szCs w:val="21"/>
                    </w:rPr>
                  </w:pPr>
                  <w:r>
                    <w:rPr>
                      <w:rFonts w:hint="eastAsia"/>
                      <w:szCs w:val="21"/>
                    </w:rPr>
                    <w:t>相符</w:t>
                  </w:r>
                </w:p>
              </w:tc>
            </w:tr>
          </w:tbl>
          <w:p>
            <w:pPr>
              <w:pStyle w:val="9"/>
              <w:numPr>
                <w:ilvl w:val="0"/>
                <w:numId w:val="0"/>
              </w:numPr>
              <w:spacing w:line="360" w:lineRule="auto"/>
              <w:ind w:firstLine="420" w:firstLineChars="200"/>
              <w:jc w:val="left"/>
              <w:rPr>
                <w:szCs w:val="21"/>
              </w:rPr>
            </w:pPr>
            <w:r>
              <w:rPr>
                <w:rFonts w:hint="eastAsia"/>
                <w:szCs w:val="21"/>
              </w:rPr>
              <w:t>综上所述，本项目与国家、地方环保政策及相关法律法规要求相符，同时满足行业相关环保要求。</w:t>
            </w: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kern w:val="0"/>
                <w:szCs w:val="21"/>
              </w:rPr>
            </w:pPr>
          </w:p>
          <w:p>
            <w:pPr>
              <w:pStyle w:val="9"/>
              <w:numPr>
                <w:ilvl w:val="0"/>
                <w:numId w:val="0"/>
              </w:numPr>
              <w:rPr>
                <w:rFonts w:hint="eastAsia"/>
                <w:kern w:val="0"/>
                <w:szCs w:val="21"/>
              </w:rPr>
            </w:pPr>
          </w:p>
        </w:tc>
      </w:tr>
    </w:tbl>
    <w:p>
      <w:pPr>
        <w:spacing w:line="360" w:lineRule="auto"/>
        <w:outlineLvl w:val="0"/>
        <w:rPr>
          <w:rFonts w:eastAsia="黑体"/>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1"/>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7"/>
        <w:gridCol w:w="8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97" w:hRule="atLeast"/>
          <w:jc w:val="center"/>
        </w:trPr>
        <w:tc>
          <w:tcPr>
            <w:tcW w:w="557" w:type="dxa"/>
            <w:vAlign w:val="center"/>
          </w:tcPr>
          <w:p>
            <w:pPr>
              <w:pStyle w:val="17"/>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427" w:type="dxa"/>
          </w:tcPr>
          <w:p>
            <w:pPr>
              <w:spacing w:line="360" w:lineRule="auto"/>
              <w:ind w:firstLine="420"/>
              <w:rPr>
                <w:b/>
                <w:bCs/>
                <w:szCs w:val="21"/>
              </w:rPr>
            </w:pPr>
            <w:r>
              <w:rPr>
                <w:rFonts w:hint="eastAsia"/>
                <w:b/>
                <w:szCs w:val="21"/>
              </w:rPr>
              <w:t>1、项目概况</w:t>
            </w:r>
          </w:p>
          <w:p>
            <w:pPr>
              <w:spacing w:line="360" w:lineRule="auto"/>
              <w:ind w:firstLine="420" w:firstLineChars="200"/>
              <w:rPr>
                <w:szCs w:val="21"/>
              </w:rPr>
            </w:pPr>
            <w:r>
              <w:rPr>
                <w:rFonts w:hint="eastAsia"/>
                <w:szCs w:val="21"/>
                <w:lang w:eastAsia="zh-CN"/>
              </w:rPr>
              <w:t>常州市禾吉塑料包装有限公司成立于2023年10月18日，注册地位于武进国家高新技术产业开发区龙逸路76号，法定代表人为张琪。经营范围包括一般项目：塑料制品制造；塑料制品销售；包装材料及制品销售；纸制品销售；五金产品批发；机械零件、零部件销售（除依法须经批准的项目外，凭营业执照依法自主开展经营活动）</w:t>
            </w:r>
            <w:r>
              <w:rPr>
                <w:rFonts w:hint="eastAsia"/>
                <w:szCs w:val="21"/>
              </w:rPr>
              <w:t>。现有营业执照及法人身份证复印件见附件3。</w:t>
            </w:r>
          </w:p>
          <w:p>
            <w:pPr>
              <w:spacing w:line="360" w:lineRule="auto"/>
              <w:ind w:firstLine="420" w:firstLineChars="200"/>
              <w:rPr>
                <w:szCs w:val="21"/>
              </w:rPr>
            </w:pPr>
            <w:r>
              <w:rPr>
                <w:rFonts w:hint="eastAsia"/>
                <w:szCs w:val="21"/>
              </w:rPr>
              <w:t>为了</w:t>
            </w:r>
            <w:r>
              <w:rPr>
                <w:rFonts w:hint="eastAsia"/>
                <w:szCs w:val="21"/>
                <w:lang w:val="en-US" w:eastAsia="zh-CN"/>
              </w:rPr>
              <w:t>适应市场需求</w:t>
            </w:r>
            <w:r>
              <w:rPr>
                <w:rFonts w:hint="eastAsia"/>
                <w:szCs w:val="21"/>
              </w:rPr>
              <w:t>，</w:t>
            </w:r>
            <w:r>
              <w:rPr>
                <w:rFonts w:hint="eastAsia"/>
                <w:szCs w:val="21"/>
                <w:lang w:eastAsia="zh-CN"/>
              </w:rPr>
              <w:t>常州市禾吉塑料包装有限公司</w:t>
            </w:r>
            <w:r>
              <w:rPr>
                <w:spacing w:val="-5"/>
              </w:rPr>
              <w:t>拟投资</w:t>
            </w:r>
            <w:r>
              <w:rPr>
                <w:rFonts w:hint="eastAsia"/>
                <w:spacing w:val="-5"/>
                <w:lang w:val="en-US" w:eastAsia="zh-CN"/>
              </w:rPr>
              <w:t>200</w:t>
            </w:r>
            <w:r>
              <w:rPr>
                <w:spacing w:val="-11"/>
              </w:rPr>
              <w:t>万元</w:t>
            </w:r>
            <w:r>
              <w:rPr>
                <w:rFonts w:hint="eastAsia"/>
                <w:spacing w:val="-11"/>
                <w:lang w:eastAsia="zh-CN"/>
              </w:rPr>
              <w:t>，</w:t>
            </w:r>
            <w:r>
              <w:rPr>
                <w:rFonts w:hint="eastAsia"/>
                <w:szCs w:val="21"/>
                <w:lang w:val="en-US" w:eastAsia="zh-CN"/>
              </w:rPr>
              <w:t>租赁</w:t>
            </w:r>
            <w:r>
              <w:rPr>
                <w:spacing w:val="-5"/>
              </w:rPr>
              <w:t>常州市武进第一耐火材料有限公司</w:t>
            </w:r>
            <w:r>
              <w:rPr>
                <w:rFonts w:hint="eastAsia"/>
                <w:spacing w:val="-5"/>
                <w:lang w:val="en-US" w:eastAsia="zh-CN"/>
              </w:rPr>
              <w:t>位于</w:t>
            </w:r>
            <w:r>
              <w:rPr>
                <w:szCs w:val="21"/>
              </w:rPr>
              <w:t>江苏省常州市武进国家高新技术产业开发区龙逸路76号</w:t>
            </w:r>
            <w:r>
              <w:rPr>
                <w:rFonts w:hint="eastAsia"/>
                <w:szCs w:val="21"/>
              </w:rPr>
              <w:t>已建成车间</w:t>
            </w:r>
            <w:r>
              <w:rPr>
                <w:rFonts w:hint="eastAsia"/>
                <w:szCs w:val="21"/>
                <w:lang w:val="en-US" w:eastAsia="zh-CN"/>
              </w:rPr>
              <w:t>280</w:t>
            </w:r>
            <w:r>
              <w:rPr>
                <w:rFonts w:hint="eastAsia"/>
                <w:szCs w:val="21"/>
              </w:rPr>
              <w:t>m</w:t>
            </w:r>
            <w:r>
              <w:rPr>
                <w:rFonts w:hint="eastAsia"/>
                <w:szCs w:val="21"/>
                <w:vertAlign w:val="superscript"/>
              </w:rPr>
              <w:t>2</w:t>
            </w:r>
            <w:r>
              <w:rPr>
                <w:rFonts w:hint="eastAsia"/>
                <w:szCs w:val="21"/>
                <w:vertAlign w:val="baseline"/>
                <w:lang w:val="en-US" w:eastAsia="zh-CN"/>
              </w:rPr>
              <w:t>从事</w:t>
            </w:r>
            <w:r>
              <w:rPr>
                <w:rFonts w:hint="eastAsia"/>
                <w:szCs w:val="21"/>
                <w:lang w:eastAsia="zh-CN"/>
              </w:rPr>
              <w:t>年产300万只医疗器械用塑料包装袋项目</w:t>
            </w:r>
            <w:r>
              <w:rPr>
                <w:rFonts w:hint="eastAsia"/>
                <w:szCs w:val="21"/>
              </w:rPr>
              <w:t>，</w:t>
            </w:r>
            <w:r>
              <w:rPr>
                <w:rFonts w:hint="eastAsia"/>
                <w:szCs w:val="21"/>
                <w:lang w:val="en-US" w:eastAsia="zh-CN"/>
              </w:rPr>
              <w:t>同时</w:t>
            </w:r>
            <w:r>
              <w:rPr>
                <w:rFonts w:hint="eastAsia"/>
                <w:szCs w:val="21"/>
              </w:rPr>
              <w:t>购置高低压吹膜机、制袋机、装袋机</w:t>
            </w:r>
            <w:r>
              <w:rPr>
                <w:rFonts w:hint="eastAsia"/>
                <w:szCs w:val="21"/>
                <w:lang w:val="en-US" w:eastAsia="zh-CN"/>
              </w:rPr>
              <w:t>等</w:t>
            </w:r>
            <w:r>
              <w:rPr>
                <w:rFonts w:hint="eastAsia"/>
                <w:szCs w:val="21"/>
              </w:rPr>
              <w:t>设备设施共</w:t>
            </w:r>
            <w:r>
              <w:rPr>
                <w:rFonts w:hint="eastAsia"/>
                <w:szCs w:val="21"/>
                <w:lang w:val="en-US" w:eastAsia="zh-CN"/>
              </w:rPr>
              <w:t>6</w:t>
            </w:r>
            <w:r>
              <w:rPr>
                <w:rFonts w:hint="eastAsia"/>
                <w:szCs w:val="21"/>
              </w:rPr>
              <w:t>台</w:t>
            </w:r>
            <w:r>
              <w:rPr>
                <w:rFonts w:hint="eastAsia"/>
                <w:szCs w:val="21"/>
                <w:lang w:eastAsia="zh-CN"/>
              </w:rPr>
              <w:t>（</w:t>
            </w:r>
            <w:r>
              <w:rPr>
                <w:rFonts w:hint="eastAsia"/>
                <w:szCs w:val="21"/>
                <w:lang w:val="en-US" w:eastAsia="zh-CN"/>
              </w:rPr>
              <w:t>套</w:t>
            </w:r>
            <w:r>
              <w:rPr>
                <w:rFonts w:hint="eastAsia"/>
                <w:szCs w:val="21"/>
                <w:lang w:eastAsia="zh-CN"/>
              </w:rPr>
              <w:t>）</w:t>
            </w:r>
            <w:r>
              <w:rPr>
                <w:rFonts w:hint="eastAsia"/>
                <w:szCs w:val="21"/>
              </w:rPr>
              <w:t>，</w:t>
            </w:r>
            <w:r>
              <w:rPr>
                <w:rFonts w:hint="eastAsia"/>
                <w:szCs w:val="21"/>
                <w:lang w:val="en-US" w:eastAsia="zh-CN"/>
              </w:rPr>
              <w:t>项目</w:t>
            </w:r>
            <w:r>
              <w:rPr>
                <w:rFonts w:hint="eastAsia"/>
                <w:szCs w:val="21"/>
              </w:rPr>
              <w:t>建成后可形成年产</w:t>
            </w:r>
            <w:r>
              <w:rPr>
                <w:rFonts w:hint="eastAsia"/>
                <w:szCs w:val="21"/>
                <w:lang w:eastAsia="zh-CN"/>
              </w:rPr>
              <w:t>医疗器械用塑料包装袋300万只</w:t>
            </w:r>
            <w:r>
              <w:rPr>
                <w:rFonts w:hint="eastAsia"/>
                <w:szCs w:val="21"/>
              </w:rPr>
              <w:t>的生产规模。本项目预计于2024年</w:t>
            </w:r>
            <w:r>
              <w:rPr>
                <w:rFonts w:hint="eastAsia"/>
                <w:szCs w:val="21"/>
                <w:lang w:val="en-US" w:eastAsia="zh-CN"/>
              </w:rPr>
              <w:t>12</w:t>
            </w:r>
            <w:r>
              <w:rPr>
                <w:rFonts w:hint="eastAsia"/>
                <w:szCs w:val="21"/>
              </w:rPr>
              <w:t>月建成投产运行</w:t>
            </w:r>
            <w:r>
              <w:rPr>
                <w:szCs w:val="21"/>
              </w:rPr>
              <w:t>。该项目于202</w:t>
            </w:r>
            <w:r>
              <w:rPr>
                <w:rFonts w:hint="eastAsia"/>
                <w:szCs w:val="21"/>
                <w:lang w:val="en-US" w:eastAsia="zh-CN"/>
              </w:rPr>
              <w:t>4</w:t>
            </w:r>
            <w:r>
              <w:rPr>
                <w:szCs w:val="21"/>
              </w:rPr>
              <w:t>年</w:t>
            </w:r>
            <w:r>
              <w:rPr>
                <w:rFonts w:hint="eastAsia"/>
                <w:szCs w:val="21"/>
                <w:lang w:val="en-US" w:eastAsia="zh-CN"/>
              </w:rPr>
              <w:t>5</w:t>
            </w:r>
            <w:r>
              <w:rPr>
                <w:szCs w:val="21"/>
              </w:rPr>
              <w:t>月</w:t>
            </w:r>
            <w:r>
              <w:rPr>
                <w:rFonts w:hint="eastAsia"/>
                <w:szCs w:val="21"/>
                <w:lang w:val="en-US" w:eastAsia="zh-CN"/>
              </w:rPr>
              <w:t>6</w:t>
            </w:r>
            <w:r>
              <w:rPr>
                <w:szCs w:val="21"/>
              </w:rPr>
              <w:t>日取得了武进国家高新技术产业开发区管理委员会的备案，项目名称为“</w:t>
            </w:r>
            <w:r>
              <w:rPr>
                <w:rFonts w:hint="eastAsia"/>
                <w:szCs w:val="21"/>
                <w:lang w:eastAsia="zh-CN"/>
              </w:rPr>
              <w:t>年产300万只医疗器械用塑料包装袋项目</w:t>
            </w:r>
            <w:r>
              <w:rPr>
                <w:szCs w:val="21"/>
              </w:rPr>
              <w:t>”，备案证号：武</w:t>
            </w:r>
            <w:r>
              <w:rPr>
                <w:rFonts w:hint="eastAsia"/>
                <w:szCs w:val="21"/>
                <w:lang w:val="en-US" w:eastAsia="zh-CN"/>
              </w:rPr>
              <w:t>新区委备</w:t>
            </w:r>
            <w:r>
              <w:rPr>
                <w:szCs w:val="21"/>
              </w:rPr>
              <w:t>[202</w:t>
            </w:r>
            <w:r>
              <w:rPr>
                <w:rFonts w:hint="eastAsia"/>
                <w:szCs w:val="21"/>
                <w:lang w:val="en-US" w:eastAsia="zh-CN"/>
              </w:rPr>
              <w:t>4</w:t>
            </w:r>
            <w:r>
              <w:rPr>
                <w:szCs w:val="21"/>
              </w:rPr>
              <w:t>]</w:t>
            </w:r>
            <w:r>
              <w:rPr>
                <w:rFonts w:hint="eastAsia"/>
                <w:szCs w:val="21"/>
                <w:lang w:val="en-US" w:eastAsia="zh-CN"/>
              </w:rPr>
              <w:t>66</w:t>
            </w:r>
            <w:r>
              <w:rPr>
                <w:szCs w:val="21"/>
              </w:rPr>
              <w:t>号，项目代码：</w:t>
            </w:r>
            <w:r>
              <w:rPr>
                <w:rFonts w:hint="eastAsia"/>
                <w:szCs w:val="21"/>
                <w:lang w:eastAsia="zh-CN"/>
              </w:rPr>
              <w:t>2405-320451-04-01-535917</w:t>
            </w:r>
            <w:r>
              <w:rPr>
                <w:szCs w:val="21"/>
              </w:rPr>
              <w:t>。</w:t>
            </w:r>
          </w:p>
          <w:p>
            <w:pPr>
              <w:spacing w:line="360" w:lineRule="auto"/>
              <w:ind w:firstLine="420" w:firstLineChars="200"/>
              <w:rPr>
                <w:szCs w:val="21"/>
              </w:rPr>
            </w:pPr>
            <w:r>
              <w:rPr>
                <w:szCs w:val="21"/>
              </w:rPr>
              <w:t>根据《中华人民共和国环境保护法》、《中华人民共和国环境影响评价法》、《建设项目环境影响评价分类管理名录（2021年版）》及《建设项目环境影响评价分级审批规定》的规定，</w:t>
            </w:r>
            <w:r>
              <w:rPr>
                <w:kern w:val="0"/>
                <w:szCs w:val="21"/>
              </w:rPr>
              <w:t>本项目属于“</w:t>
            </w:r>
            <w:r>
              <w:rPr>
                <w:rFonts w:hint="eastAsia"/>
                <w:kern w:val="0"/>
                <w:szCs w:val="21"/>
              </w:rPr>
              <w:t>二十六、橡胶和塑料制品业29，53、塑料制品业292，其他</w:t>
            </w:r>
            <w:r>
              <w:rPr>
                <w:kern w:val="0"/>
                <w:szCs w:val="21"/>
              </w:rPr>
              <w:t>”，需编制环境影响报告表。受</w:t>
            </w:r>
            <w:r>
              <w:rPr>
                <w:rFonts w:hint="eastAsia"/>
                <w:szCs w:val="21"/>
                <w:lang w:eastAsia="zh-CN"/>
              </w:rPr>
              <w:t>常州市禾吉塑料包装有限公司</w:t>
            </w:r>
            <w:r>
              <w:rPr>
                <w:szCs w:val="21"/>
              </w:rPr>
              <w:t>委托，</w:t>
            </w:r>
            <w:r>
              <w:rPr>
                <w:rFonts w:hint="eastAsia"/>
                <w:kern w:val="0"/>
                <w:szCs w:val="21"/>
              </w:rPr>
              <w:t>常州观复环境科技有限公司</w:t>
            </w:r>
            <w:r>
              <w:rPr>
                <w:kern w:val="0"/>
                <w:szCs w:val="21"/>
              </w:rPr>
              <w:t>负责该项目环境影响评价报告表的编制工作</w:t>
            </w:r>
            <w:r>
              <w:rPr>
                <w:szCs w:val="21"/>
              </w:rPr>
              <w:t>。环评委托书见</w:t>
            </w:r>
            <w:r>
              <w:rPr>
                <w:b/>
                <w:bCs/>
                <w:szCs w:val="21"/>
              </w:rPr>
              <w:t>附件1</w:t>
            </w:r>
            <w:r>
              <w:rPr>
                <w:szCs w:val="21"/>
              </w:rPr>
              <w:t>。</w:t>
            </w:r>
          </w:p>
          <w:p>
            <w:pPr>
              <w:pStyle w:val="8"/>
              <w:spacing w:after="0" w:line="360" w:lineRule="auto"/>
              <w:ind w:left="420" w:leftChars="200"/>
              <w:jc w:val="left"/>
              <w:rPr>
                <w:b/>
                <w:bCs/>
                <w:sz w:val="21"/>
                <w:szCs w:val="21"/>
              </w:rPr>
            </w:pPr>
            <w:r>
              <w:rPr>
                <w:rFonts w:hint="eastAsia"/>
                <w:b/>
                <w:bCs/>
                <w:sz w:val="21"/>
                <w:szCs w:val="21"/>
              </w:rPr>
              <w:t>2、建设内容及产品方案</w:t>
            </w:r>
          </w:p>
          <w:p>
            <w:pPr>
              <w:pStyle w:val="9"/>
              <w:numPr>
                <w:ilvl w:val="0"/>
                <w:numId w:val="0"/>
              </w:numPr>
              <w:spacing w:line="360" w:lineRule="auto"/>
              <w:ind w:leftChars="200"/>
              <w:jc w:val="left"/>
            </w:pPr>
            <w:r>
              <w:t>项目名称：</w:t>
            </w:r>
            <w:r>
              <w:rPr>
                <w:rFonts w:hint="eastAsia"/>
                <w:lang w:eastAsia="zh-CN"/>
              </w:rPr>
              <w:t>年产300万只医疗器械用塑料包装袋项目</w:t>
            </w:r>
            <w:r>
              <w:t>。</w:t>
            </w:r>
          </w:p>
          <w:p>
            <w:pPr>
              <w:pStyle w:val="9"/>
              <w:numPr>
                <w:ilvl w:val="0"/>
                <w:numId w:val="0"/>
              </w:numPr>
              <w:spacing w:line="360" w:lineRule="auto"/>
              <w:ind w:leftChars="200"/>
              <w:jc w:val="left"/>
            </w:pPr>
            <w:r>
              <w:t>建设地点：江苏省常州市武进国家高新技术产业开发区龙逸路76号。</w:t>
            </w:r>
          </w:p>
          <w:p>
            <w:pPr>
              <w:pStyle w:val="9"/>
              <w:numPr>
                <w:ilvl w:val="0"/>
                <w:numId w:val="0"/>
              </w:numPr>
              <w:spacing w:line="360" w:lineRule="auto"/>
              <w:ind w:leftChars="200"/>
              <w:jc w:val="left"/>
            </w:pPr>
            <w:r>
              <w:t>建设单位：</w:t>
            </w:r>
            <w:r>
              <w:rPr>
                <w:rFonts w:hint="eastAsia"/>
                <w:lang w:eastAsia="zh-CN"/>
              </w:rPr>
              <w:t>常州市禾吉塑料包装有限公司</w:t>
            </w:r>
            <w:r>
              <w:t>。</w:t>
            </w:r>
          </w:p>
          <w:p>
            <w:pPr>
              <w:pStyle w:val="9"/>
              <w:numPr>
                <w:ilvl w:val="0"/>
                <w:numId w:val="0"/>
              </w:numPr>
              <w:spacing w:line="360" w:lineRule="auto"/>
              <w:ind w:leftChars="200"/>
              <w:jc w:val="left"/>
            </w:pPr>
            <w:r>
              <w:t>建设性质：新建。</w:t>
            </w:r>
          </w:p>
          <w:p>
            <w:pPr>
              <w:pStyle w:val="9"/>
              <w:numPr>
                <w:ilvl w:val="0"/>
                <w:numId w:val="0"/>
              </w:numPr>
              <w:spacing w:line="360" w:lineRule="auto"/>
              <w:ind w:leftChars="200"/>
              <w:jc w:val="left"/>
            </w:pPr>
            <w:r>
              <w:t>建设内容与规模：</w:t>
            </w:r>
            <w:r>
              <w:rPr>
                <w:rFonts w:hint="eastAsia"/>
                <w:szCs w:val="21"/>
                <w:lang w:val="en-US" w:eastAsia="zh-CN"/>
              </w:rPr>
              <w:t>租赁</w:t>
            </w:r>
            <w:r>
              <w:rPr>
                <w:spacing w:val="-5"/>
              </w:rPr>
              <w:t>常州市武进第一耐火材料有限公司</w:t>
            </w:r>
            <w:r>
              <w:rPr>
                <w:rFonts w:hint="eastAsia"/>
                <w:spacing w:val="-5"/>
                <w:lang w:val="en-US" w:eastAsia="zh-CN"/>
              </w:rPr>
              <w:t>位于</w:t>
            </w:r>
            <w:r>
              <w:rPr>
                <w:szCs w:val="21"/>
              </w:rPr>
              <w:t>江苏省常州市武进国家高新技术产业开发区龙逸路76号</w:t>
            </w:r>
            <w:r>
              <w:rPr>
                <w:rFonts w:hint="eastAsia"/>
                <w:szCs w:val="21"/>
              </w:rPr>
              <w:t>已建成车间</w:t>
            </w:r>
            <w:r>
              <w:rPr>
                <w:rFonts w:hint="eastAsia"/>
                <w:szCs w:val="21"/>
                <w:lang w:val="en-US" w:eastAsia="zh-CN"/>
              </w:rPr>
              <w:t>280</w:t>
            </w:r>
            <w:r>
              <w:rPr>
                <w:rFonts w:hint="eastAsia"/>
                <w:szCs w:val="21"/>
              </w:rPr>
              <w:t>m</w:t>
            </w:r>
            <w:r>
              <w:rPr>
                <w:rFonts w:hint="eastAsia"/>
                <w:szCs w:val="21"/>
                <w:vertAlign w:val="superscript"/>
              </w:rPr>
              <w:t>2</w:t>
            </w:r>
            <w:r>
              <w:rPr>
                <w:rFonts w:hint="eastAsia"/>
                <w:szCs w:val="21"/>
                <w:vertAlign w:val="baseline"/>
                <w:lang w:val="en-US" w:eastAsia="zh-CN"/>
              </w:rPr>
              <w:t>从事</w:t>
            </w:r>
            <w:r>
              <w:rPr>
                <w:rFonts w:hint="eastAsia"/>
                <w:szCs w:val="21"/>
                <w:lang w:eastAsia="zh-CN"/>
              </w:rPr>
              <w:t>年产300万只医疗器械用塑料包装袋项目</w:t>
            </w:r>
            <w:r>
              <w:rPr>
                <w:rFonts w:hint="eastAsia"/>
                <w:szCs w:val="21"/>
              </w:rPr>
              <w:t>，</w:t>
            </w:r>
            <w:r>
              <w:rPr>
                <w:rFonts w:hint="eastAsia"/>
                <w:szCs w:val="21"/>
                <w:lang w:val="en-US" w:eastAsia="zh-CN"/>
              </w:rPr>
              <w:t>同时</w:t>
            </w:r>
            <w:r>
              <w:rPr>
                <w:rFonts w:hint="eastAsia"/>
                <w:szCs w:val="21"/>
              </w:rPr>
              <w:t>购置高低压吹膜机、制袋机、装袋机</w:t>
            </w:r>
            <w:r>
              <w:rPr>
                <w:rFonts w:hint="eastAsia"/>
                <w:szCs w:val="21"/>
                <w:lang w:val="en-US" w:eastAsia="zh-CN"/>
              </w:rPr>
              <w:t>等</w:t>
            </w:r>
            <w:r>
              <w:rPr>
                <w:rFonts w:hint="eastAsia"/>
                <w:szCs w:val="21"/>
              </w:rPr>
              <w:t>设备设施共</w:t>
            </w:r>
            <w:r>
              <w:rPr>
                <w:rFonts w:hint="eastAsia"/>
                <w:szCs w:val="21"/>
                <w:lang w:val="en-US" w:eastAsia="zh-CN"/>
              </w:rPr>
              <w:t>6</w:t>
            </w:r>
            <w:r>
              <w:rPr>
                <w:rFonts w:hint="eastAsia"/>
                <w:szCs w:val="21"/>
              </w:rPr>
              <w:t>台</w:t>
            </w:r>
            <w:r>
              <w:rPr>
                <w:rFonts w:hint="eastAsia"/>
                <w:szCs w:val="21"/>
                <w:lang w:eastAsia="zh-CN"/>
              </w:rPr>
              <w:t>（</w:t>
            </w:r>
            <w:r>
              <w:rPr>
                <w:rFonts w:hint="eastAsia"/>
                <w:szCs w:val="21"/>
                <w:lang w:val="en-US" w:eastAsia="zh-CN"/>
              </w:rPr>
              <w:t>套</w:t>
            </w:r>
            <w:r>
              <w:rPr>
                <w:rFonts w:hint="eastAsia"/>
                <w:szCs w:val="21"/>
                <w:lang w:eastAsia="zh-CN"/>
              </w:rPr>
              <w:t>）</w:t>
            </w:r>
            <w:r>
              <w:rPr>
                <w:rFonts w:hint="eastAsia"/>
                <w:szCs w:val="21"/>
              </w:rPr>
              <w:t>，</w:t>
            </w:r>
            <w:r>
              <w:rPr>
                <w:rFonts w:hint="eastAsia"/>
                <w:szCs w:val="21"/>
                <w:lang w:val="en-US" w:eastAsia="zh-CN"/>
              </w:rPr>
              <w:t>项目</w:t>
            </w:r>
            <w:r>
              <w:rPr>
                <w:rFonts w:hint="eastAsia"/>
                <w:szCs w:val="21"/>
              </w:rPr>
              <w:t>建成后可形成年产</w:t>
            </w:r>
            <w:r>
              <w:rPr>
                <w:rFonts w:hint="eastAsia"/>
                <w:szCs w:val="21"/>
                <w:lang w:eastAsia="zh-CN"/>
              </w:rPr>
              <w:t>医疗器械用塑料包装袋300万只</w:t>
            </w:r>
            <w:r>
              <w:rPr>
                <w:rFonts w:hint="eastAsia"/>
                <w:szCs w:val="21"/>
              </w:rPr>
              <w:t>的生产规模</w:t>
            </w:r>
            <w:r>
              <w:rPr>
                <w:szCs w:val="21"/>
              </w:rPr>
              <w:t>。</w:t>
            </w:r>
          </w:p>
          <w:p>
            <w:pPr>
              <w:widowControl/>
              <w:spacing w:line="480" w:lineRule="exact"/>
              <w:ind w:firstLine="420" w:firstLineChars="200"/>
              <w:jc w:val="left"/>
            </w:pPr>
          </w:p>
          <w:p>
            <w:pPr>
              <w:widowControl/>
              <w:spacing w:line="480" w:lineRule="exact"/>
              <w:ind w:firstLine="420" w:firstLineChars="200"/>
              <w:jc w:val="left"/>
            </w:pPr>
          </w:p>
          <w:p>
            <w:pPr>
              <w:widowControl/>
              <w:spacing w:line="480" w:lineRule="exact"/>
              <w:ind w:firstLine="420" w:firstLineChars="200"/>
              <w:jc w:val="left"/>
            </w:pPr>
            <w:r>
              <w:t xml:space="preserve">项目产品方案见表2-1。 </w:t>
            </w:r>
          </w:p>
          <w:p>
            <w:pPr>
              <w:spacing w:line="400" w:lineRule="exact"/>
              <w:jc w:val="center"/>
              <w:rPr>
                <w:b/>
                <w:bCs/>
                <w:sz w:val="18"/>
                <w:szCs w:val="18"/>
              </w:rPr>
            </w:pPr>
            <w:r>
              <w:rPr>
                <w:b/>
                <w:bCs/>
                <w:sz w:val="18"/>
                <w:szCs w:val="18"/>
              </w:rPr>
              <w:t>表2-1  本项目产品方案一览表</w:t>
            </w:r>
          </w:p>
          <w:tbl>
            <w:tblPr>
              <w:tblStyle w:val="21"/>
              <w:tblW w:w="794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822"/>
              <w:gridCol w:w="1893"/>
              <w:gridCol w:w="1686"/>
              <w:gridCol w:w="102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0" w:type="dxa"/>
                  <w:noWrap w:val="0"/>
                  <w:vAlign w:val="center"/>
                </w:tcPr>
                <w:p>
                  <w:pPr>
                    <w:widowControl/>
                    <w:jc w:val="center"/>
                    <w:rPr>
                      <w:rFonts w:hint="eastAsia" w:ascii="Times New Roman" w:hAnsi="Times New Roman" w:cs="Times New Roman"/>
                      <w:b/>
                      <w:bCs/>
                      <w:szCs w:val="21"/>
                    </w:rPr>
                  </w:pPr>
                  <w:r>
                    <w:rPr>
                      <w:rFonts w:hint="eastAsia" w:ascii="Times New Roman" w:hAnsi="Times New Roman" w:cs="Times New Roman"/>
                      <w:b/>
                      <w:bCs/>
                      <w:szCs w:val="21"/>
                    </w:rPr>
                    <w:t>序号</w:t>
                  </w:r>
                </w:p>
              </w:tc>
              <w:tc>
                <w:tcPr>
                  <w:tcW w:w="2822" w:type="dxa"/>
                  <w:noWrap w:val="0"/>
                  <w:vAlign w:val="center"/>
                </w:tcPr>
                <w:p>
                  <w:pPr>
                    <w:widowControl/>
                    <w:jc w:val="center"/>
                    <w:rPr>
                      <w:rFonts w:hint="eastAsia" w:ascii="Times New Roman" w:hAnsi="Times New Roman" w:cs="Times New Roman"/>
                      <w:b/>
                      <w:bCs/>
                      <w:szCs w:val="21"/>
                    </w:rPr>
                  </w:pPr>
                  <w:r>
                    <w:rPr>
                      <w:rFonts w:hint="eastAsia" w:ascii="Times New Roman" w:hAnsi="Times New Roman" w:cs="Times New Roman"/>
                      <w:b/>
                      <w:bCs/>
                      <w:szCs w:val="21"/>
                    </w:rPr>
                    <w:t>产品名称</w:t>
                  </w:r>
                </w:p>
              </w:tc>
              <w:tc>
                <w:tcPr>
                  <w:tcW w:w="1893" w:type="dxa"/>
                  <w:noWrap w:val="0"/>
                  <w:vAlign w:val="center"/>
                </w:tcPr>
                <w:p>
                  <w:pPr>
                    <w:widowControl/>
                    <w:jc w:val="center"/>
                    <w:rPr>
                      <w:rFonts w:hint="eastAsia" w:ascii="Times New Roman" w:hAnsi="Times New Roman" w:cs="Times New Roman"/>
                      <w:b/>
                      <w:bCs/>
                      <w:szCs w:val="21"/>
                    </w:rPr>
                  </w:pPr>
                  <w:r>
                    <w:rPr>
                      <w:rFonts w:hint="eastAsia" w:ascii="Times New Roman" w:hAnsi="Times New Roman" w:cs="Times New Roman"/>
                      <w:b/>
                      <w:bCs/>
                      <w:szCs w:val="21"/>
                    </w:rPr>
                    <w:t>设计生产能力</w:t>
                  </w:r>
                </w:p>
              </w:tc>
              <w:tc>
                <w:tcPr>
                  <w:tcW w:w="1686" w:type="dxa"/>
                  <w:noWrap w:val="0"/>
                  <w:vAlign w:val="center"/>
                </w:tcPr>
                <w:p>
                  <w:pPr>
                    <w:widowControl/>
                    <w:jc w:val="center"/>
                    <w:rPr>
                      <w:rFonts w:hint="eastAsia" w:ascii="Times New Roman" w:hAnsi="Times New Roman" w:cs="Times New Roman"/>
                      <w:b/>
                      <w:bCs/>
                      <w:szCs w:val="21"/>
                    </w:rPr>
                  </w:pPr>
                  <w:r>
                    <w:rPr>
                      <w:rFonts w:hint="eastAsia" w:ascii="Times New Roman" w:hAnsi="Times New Roman" w:cs="Times New Roman"/>
                      <w:b/>
                      <w:bCs/>
                      <w:szCs w:val="21"/>
                    </w:rPr>
                    <w:t>单位</w:t>
                  </w:r>
                </w:p>
              </w:tc>
              <w:tc>
                <w:tcPr>
                  <w:tcW w:w="1024" w:type="dxa"/>
                  <w:noWrap w:val="0"/>
                  <w:vAlign w:val="center"/>
                </w:tcPr>
                <w:p>
                  <w:pPr>
                    <w:widowControl/>
                    <w:jc w:val="center"/>
                    <w:rPr>
                      <w:rFonts w:hint="eastAsia" w:ascii="Times New Roman" w:hAnsi="Times New Roman" w:cs="Times New Roman"/>
                      <w:b/>
                      <w:bCs/>
                      <w:szCs w:val="21"/>
                    </w:rPr>
                  </w:pPr>
                  <w:r>
                    <w:rPr>
                      <w:rFonts w:hint="eastAsia" w:ascii="Times New Roman" w:hAnsi="Times New Roman" w:cs="Times New Roman"/>
                      <w:b/>
                      <w:bCs/>
                      <w:szCs w:val="21"/>
                    </w:rPr>
                    <w:t>设计生产时间</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20" w:type="dxa"/>
                  <w:noWrap w:val="0"/>
                  <w:vAlign w:val="center"/>
                </w:tcPr>
                <w:p>
                  <w:pPr>
                    <w:widowControl/>
                    <w:jc w:val="center"/>
                    <w:rPr>
                      <w:rFonts w:hint="eastAsia" w:ascii="Times New Roman" w:hAnsi="Times New Roman" w:cs="Times New Roman"/>
                      <w:b w:val="0"/>
                      <w:bCs w:val="0"/>
                      <w:szCs w:val="21"/>
                    </w:rPr>
                  </w:pPr>
                  <w:r>
                    <w:rPr>
                      <w:rFonts w:hint="eastAsia" w:ascii="Times New Roman" w:hAnsi="Times New Roman" w:cs="Times New Roman"/>
                      <w:b w:val="0"/>
                      <w:bCs w:val="0"/>
                      <w:szCs w:val="21"/>
                    </w:rPr>
                    <w:t>1</w:t>
                  </w:r>
                </w:p>
              </w:tc>
              <w:tc>
                <w:tcPr>
                  <w:tcW w:w="2822" w:type="dxa"/>
                  <w:noWrap w:val="0"/>
                  <w:vAlign w:val="center"/>
                </w:tcPr>
                <w:p>
                  <w:pPr>
                    <w:widowControl/>
                    <w:jc w:val="center"/>
                    <w:rPr>
                      <w:rFonts w:hint="eastAsia" w:ascii="Times New Roman" w:hAnsi="Times New Roman" w:cs="Times New Roman"/>
                      <w:b w:val="0"/>
                      <w:bCs w:val="0"/>
                      <w:szCs w:val="21"/>
                    </w:rPr>
                  </w:pPr>
                  <w:r>
                    <w:rPr>
                      <w:rFonts w:hint="eastAsia" w:ascii="Times New Roman" w:hAnsi="Times New Roman" w:cs="Times New Roman"/>
                      <w:b w:val="0"/>
                      <w:bCs w:val="0"/>
                      <w:szCs w:val="21"/>
                      <w:lang w:eastAsia="zh-CN"/>
                    </w:rPr>
                    <w:t>医疗器械用塑料包装袋</w:t>
                  </w:r>
                </w:p>
              </w:tc>
              <w:tc>
                <w:tcPr>
                  <w:tcW w:w="1893" w:type="dxa"/>
                  <w:noWrap w:val="0"/>
                  <w:vAlign w:val="center"/>
                </w:tcPr>
                <w:p>
                  <w:pPr>
                    <w:widowControl/>
                    <w:jc w:val="center"/>
                    <w:rPr>
                      <w:rFonts w:hint="default" w:ascii="Times New Roman" w:hAnsi="Times New Roman" w:eastAsia="宋体" w:cs="Times New Roman"/>
                      <w:b w:val="0"/>
                      <w:bCs w:val="0"/>
                      <w:szCs w:val="21"/>
                      <w:lang w:val="en-US" w:eastAsia="zh-CN"/>
                    </w:rPr>
                  </w:pPr>
                  <w:r>
                    <w:rPr>
                      <w:rFonts w:hint="eastAsia" w:ascii="Times New Roman" w:hAnsi="Times New Roman" w:cs="Times New Roman"/>
                      <w:b w:val="0"/>
                      <w:bCs w:val="0"/>
                      <w:szCs w:val="21"/>
                      <w:lang w:val="en-US" w:eastAsia="zh-CN"/>
                    </w:rPr>
                    <w:t>300</w:t>
                  </w:r>
                </w:p>
              </w:tc>
              <w:tc>
                <w:tcPr>
                  <w:tcW w:w="1686" w:type="dxa"/>
                  <w:noWrap w:val="0"/>
                  <w:vAlign w:val="center"/>
                </w:tcPr>
                <w:p>
                  <w:pPr>
                    <w:widowControl/>
                    <w:jc w:val="center"/>
                    <w:rPr>
                      <w:rFonts w:hint="default" w:ascii="Times New Roman" w:hAnsi="Times New Roman" w:eastAsia="宋体" w:cs="Times New Roman"/>
                      <w:b w:val="0"/>
                      <w:bCs w:val="0"/>
                      <w:szCs w:val="21"/>
                      <w:lang w:val="en-US" w:eastAsia="zh-CN"/>
                    </w:rPr>
                  </w:pPr>
                  <w:r>
                    <w:rPr>
                      <w:rFonts w:hint="eastAsia" w:ascii="Times New Roman" w:hAnsi="Times New Roman" w:cs="Times New Roman"/>
                      <w:b w:val="0"/>
                      <w:bCs w:val="0"/>
                      <w:szCs w:val="21"/>
                      <w:lang w:val="en-US" w:eastAsia="zh-CN"/>
                    </w:rPr>
                    <w:t>万只/年</w:t>
                  </w:r>
                </w:p>
              </w:tc>
              <w:tc>
                <w:tcPr>
                  <w:tcW w:w="1024" w:type="dxa"/>
                  <w:noWrap w:val="0"/>
                  <w:vAlign w:val="center"/>
                </w:tcPr>
                <w:p>
                  <w:pPr>
                    <w:widowControl/>
                    <w:jc w:val="center"/>
                    <w:rPr>
                      <w:rFonts w:hint="eastAsia" w:ascii="Times New Roman" w:hAnsi="Times New Roman" w:cs="Times New Roman"/>
                      <w:b w:val="0"/>
                      <w:bCs w:val="0"/>
                      <w:szCs w:val="21"/>
                    </w:rPr>
                  </w:pPr>
                  <w:r>
                    <w:rPr>
                      <w:rFonts w:hint="eastAsia" w:ascii="Times New Roman" w:hAnsi="Times New Roman" w:cs="Times New Roman"/>
                      <w:b w:val="0"/>
                      <w:bCs w:val="0"/>
                      <w:szCs w:val="21"/>
                    </w:rPr>
                    <w:t>2400h/a</w:t>
                  </w:r>
                </w:p>
              </w:tc>
            </w:tr>
          </w:tbl>
          <w:p>
            <w:pPr>
              <w:pStyle w:val="15"/>
              <w:spacing w:after="0" w:line="480" w:lineRule="exact"/>
              <w:ind w:left="0" w:leftChars="0" w:firstLineChars="200"/>
              <w:jc w:val="left"/>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本项目主要建设内容详见表2-2。</w:t>
            </w:r>
          </w:p>
          <w:p>
            <w:pPr>
              <w:pStyle w:val="15"/>
              <w:spacing w:after="0" w:line="400" w:lineRule="exact"/>
              <w:ind w:left="0" w:leftChars="0" w:firstLine="0"/>
              <w:jc w:val="center"/>
              <w:rPr>
                <w:b/>
                <w:bCs/>
                <w:kern w:val="2"/>
                <w:sz w:val="18"/>
                <w:szCs w:val="18"/>
              </w:rPr>
            </w:pPr>
            <w:r>
              <w:rPr>
                <w:b/>
                <w:bCs/>
                <w:kern w:val="2"/>
                <w:sz w:val="18"/>
                <w:szCs w:val="18"/>
              </w:rPr>
              <w:t>表2-2  本项目主要建设内容一览表</w:t>
            </w:r>
          </w:p>
          <w:tbl>
            <w:tblPr>
              <w:tblStyle w:val="21"/>
              <w:tblW w:w="7942" w:type="dxa"/>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681"/>
              <w:gridCol w:w="971"/>
              <w:gridCol w:w="3437"/>
              <w:gridCol w:w="2226"/>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27" w:type="dxa"/>
                  <w:noWrap w:val="0"/>
                  <w:vAlign w:val="center"/>
                </w:tcPr>
                <w:p>
                  <w:pPr>
                    <w:pStyle w:val="32"/>
                    <w:jc w:val="center"/>
                    <w:rPr>
                      <w:b/>
                      <w:bCs/>
                      <w:sz w:val="18"/>
                      <w:szCs w:val="18"/>
                    </w:rPr>
                  </w:pPr>
                  <w:r>
                    <w:rPr>
                      <w:b/>
                      <w:bCs/>
                      <w:sz w:val="18"/>
                      <w:szCs w:val="18"/>
                    </w:rPr>
                    <w:t>类别</w:t>
                  </w:r>
                </w:p>
              </w:tc>
              <w:tc>
                <w:tcPr>
                  <w:tcW w:w="1652" w:type="dxa"/>
                  <w:gridSpan w:val="2"/>
                  <w:noWrap w:val="0"/>
                  <w:vAlign w:val="center"/>
                </w:tcPr>
                <w:p>
                  <w:pPr>
                    <w:pStyle w:val="32"/>
                    <w:jc w:val="center"/>
                    <w:rPr>
                      <w:b/>
                      <w:bCs/>
                      <w:sz w:val="18"/>
                      <w:szCs w:val="18"/>
                    </w:rPr>
                  </w:pPr>
                  <w:r>
                    <w:rPr>
                      <w:b/>
                      <w:bCs/>
                      <w:sz w:val="18"/>
                      <w:szCs w:val="18"/>
                    </w:rPr>
                    <w:t>建设名称</w:t>
                  </w:r>
                </w:p>
              </w:tc>
              <w:tc>
                <w:tcPr>
                  <w:tcW w:w="3437" w:type="dxa"/>
                  <w:noWrap w:val="0"/>
                  <w:vAlign w:val="center"/>
                </w:tcPr>
                <w:p>
                  <w:pPr>
                    <w:pStyle w:val="32"/>
                    <w:jc w:val="center"/>
                    <w:rPr>
                      <w:b/>
                      <w:bCs/>
                      <w:sz w:val="18"/>
                      <w:szCs w:val="18"/>
                    </w:rPr>
                  </w:pPr>
                  <w:r>
                    <w:rPr>
                      <w:b/>
                      <w:bCs/>
                      <w:sz w:val="18"/>
                      <w:szCs w:val="18"/>
                    </w:rPr>
                    <w:t>主要建设内容及规模</w:t>
                  </w:r>
                </w:p>
              </w:tc>
              <w:tc>
                <w:tcPr>
                  <w:tcW w:w="2226" w:type="dxa"/>
                  <w:noWrap w:val="0"/>
                  <w:vAlign w:val="center"/>
                </w:tcPr>
                <w:p>
                  <w:pPr>
                    <w:pStyle w:val="32"/>
                    <w:jc w:val="center"/>
                    <w:rPr>
                      <w:b/>
                      <w:bCs/>
                      <w:sz w:val="18"/>
                      <w:szCs w:val="18"/>
                    </w:rPr>
                  </w:pPr>
                  <w:r>
                    <w:rPr>
                      <w:b/>
                      <w:bCs/>
                      <w:sz w:val="18"/>
                      <w:szCs w:val="18"/>
                    </w:rPr>
                    <w:t>备注</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27" w:type="dxa"/>
                  <w:noWrap w:val="0"/>
                  <w:vAlign w:val="center"/>
                </w:tcPr>
                <w:p>
                  <w:pPr>
                    <w:pStyle w:val="32"/>
                    <w:jc w:val="center"/>
                    <w:rPr>
                      <w:sz w:val="18"/>
                      <w:szCs w:val="18"/>
                    </w:rPr>
                  </w:pPr>
                  <w:r>
                    <w:rPr>
                      <w:sz w:val="18"/>
                      <w:szCs w:val="18"/>
                    </w:rPr>
                    <w:t>主体工程</w:t>
                  </w:r>
                </w:p>
              </w:tc>
              <w:tc>
                <w:tcPr>
                  <w:tcW w:w="1652" w:type="dxa"/>
                  <w:gridSpan w:val="2"/>
                  <w:noWrap w:val="0"/>
                  <w:vAlign w:val="center"/>
                </w:tcPr>
                <w:p>
                  <w:pPr>
                    <w:pStyle w:val="32"/>
                    <w:jc w:val="center"/>
                    <w:rPr>
                      <w:sz w:val="18"/>
                      <w:szCs w:val="18"/>
                    </w:rPr>
                  </w:pPr>
                  <w:r>
                    <w:rPr>
                      <w:sz w:val="18"/>
                      <w:szCs w:val="18"/>
                    </w:rPr>
                    <w:t>生产车间</w:t>
                  </w:r>
                </w:p>
              </w:tc>
              <w:tc>
                <w:tcPr>
                  <w:tcW w:w="3437" w:type="dxa"/>
                  <w:noWrap w:val="0"/>
                  <w:vAlign w:val="center"/>
                </w:tcPr>
                <w:p>
                  <w:pPr>
                    <w:pStyle w:val="32"/>
                    <w:jc w:val="center"/>
                    <w:rPr>
                      <w:sz w:val="18"/>
                      <w:szCs w:val="18"/>
                    </w:rPr>
                  </w:pPr>
                  <w:r>
                    <w:rPr>
                      <w:rFonts w:hint="eastAsia"/>
                      <w:sz w:val="18"/>
                      <w:szCs w:val="18"/>
                      <w:lang w:val="en-US" w:eastAsia="zh-CN"/>
                    </w:rPr>
                    <w:t>280</w:t>
                  </w:r>
                  <w:r>
                    <w:rPr>
                      <w:sz w:val="18"/>
                      <w:szCs w:val="18"/>
                    </w:rPr>
                    <w:t>m</w:t>
                  </w:r>
                  <w:r>
                    <w:rPr>
                      <w:sz w:val="18"/>
                      <w:szCs w:val="18"/>
                      <w:vertAlign w:val="superscript"/>
                    </w:rPr>
                    <w:t>2</w:t>
                  </w:r>
                </w:p>
              </w:tc>
              <w:tc>
                <w:tcPr>
                  <w:tcW w:w="2226" w:type="dxa"/>
                  <w:noWrap w:val="0"/>
                  <w:vAlign w:val="center"/>
                </w:tcPr>
                <w:p>
                  <w:pPr>
                    <w:pStyle w:val="32"/>
                    <w:jc w:val="center"/>
                    <w:rPr>
                      <w:sz w:val="18"/>
                      <w:szCs w:val="18"/>
                    </w:rPr>
                  </w:pPr>
                  <w:r>
                    <w:rPr>
                      <w:sz w:val="18"/>
                      <w:szCs w:val="18"/>
                    </w:rPr>
                    <w:t>项目</w:t>
                  </w:r>
                  <w:r>
                    <w:rPr>
                      <w:rFonts w:hint="eastAsia"/>
                      <w:sz w:val="18"/>
                      <w:szCs w:val="18"/>
                      <w:lang w:val="en-US" w:eastAsia="zh-CN"/>
                    </w:rPr>
                    <w:t>租赁</w:t>
                  </w:r>
                  <w:r>
                    <w:rPr>
                      <w:sz w:val="18"/>
                      <w:szCs w:val="18"/>
                    </w:rPr>
                    <w:t>生产车间共一层，建筑面积</w:t>
                  </w:r>
                  <w:r>
                    <w:rPr>
                      <w:rFonts w:hint="eastAsia"/>
                      <w:sz w:val="18"/>
                      <w:szCs w:val="18"/>
                      <w:lang w:val="en-US" w:eastAsia="zh-CN"/>
                    </w:rPr>
                    <w:t>280</w:t>
                  </w:r>
                  <w:r>
                    <w:rPr>
                      <w:sz w:val="18"/>
                      <w:szCs w:val="18"/>
                    </w:rPr>
                    <w:t>m</w:t>
                  </w:r>
                  <w:r>
                    <w:rPr>
                      <w:sz w:val="18"/>
                      <w:szCs w:val="18"/>
                      <w:vertAlign w:val="superscript"/>
                    </w:rPr>
                    <w:t>2</w:t>
                  </w:r>
                  <w:r>
                    <w:rPr>
                      <w:sz w:val="18"/>
                      <w:szCs w:val="18"/>
                    </w:rPr>
                    <w:t>，车间层高</w:t>
                  </w:r>
                  <w:r>
                    <w:rPr>
                      <w:rFonts w:hint="eastAsia"/>
                      <w:sz w:val="18"/>
                      <w:szCs w:val="18"/>
                      <w:lang w:val="en-US" w:eastAsia="zh-CN"/>
                    </w:rPr>
                    <w:t>8</w:t>
                  </w:r>
                  <w:r>
                    <w:rPr>
                      <w:sz w:val="18"/>
                      <w:szCs w:val="18"/>
                    </w:rPr>
                    <w:t>m</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27" w:type="dxa"/>
                  <w:noWrap w:val="0"/>
                  <w:vAlign w:val="center"/>
                </w:tcPr>
                <w:p>
                  <w:pPr>
                    <w:pStyle w:val="32"/>
                    <w:jc w:val="center"/>
                    <w:rPr>
                      <w:sz w:val="18"/>
                      <w:szCs w:val="18"/>
                    </w:rPr>
                  </w:pPr>
                  <w:r>
                    <w:rPr>
                      <w:sz w:val="18"/>
                      <w:szCs w:val="18"/>
                    </w:rPr>
                    <w:t>贮运工程</w:t>
                  </w:r>
                </w:p>
              </w:tc>
              <w:tc>
                <w:tcPr>
                  <w:tcW w:w="1652" w:type="dxa"/>
                  <w:gridSpan w:val="2"/>
                  <w:noWrap w:val="0"/>
                  <w:vAlign w:val="center"/>
                </w:tcPr>
                <w:p>
                  <w:pPr>
                    <w:pStyle w:val="32"/>
                    <w:jc w:val="center"/>
                    <w:rPr>
                      <w:sz w:val="18"/>
                      <w:szCs w:val="18"/>
                    </w:rPr>
                  </w:pPr>
                  <w:r>
                    <w:rPr>
                      <w:sz w:val="18"/>
                      <w:szCs w:val="18"/>
                    </w:rPr>
                    <w:t>原料及成品仓库</w:t>
                  </w:r>
                </w:p>
              </w:tc>
              <w:tc>
                <w:tcPr>
                  <w:tcW w:w="3437" w:type="dxa"/>
                  <w:noWrap w:val="0"/>
                  <w:vAlign w:val="center"/>
                </w:tcPr>
                <w:p>
                  <w:pPr>
                    <w:pStyle w:val="32"/>
                    <w:jc w:val="center"/>
                    <w:rPr>
                      <w:sz w:val="18"/>
                      <w:szCs w:val="18"/>
                    </w:rPr>
                  </w:pPr>
                  <w:r>
                    <w:rPr>
                      <w:rFonts w:hint="eastAsia"/>
                      <w:sz w:val="18"/>
                      <w:szCs w:val="18"/>
                      <w:lang w:val="en-US" w:eastAsia="zh-CN"/>
                    </w:rPr>
                    <w:t>50</w:t>
                  </w:r>
                  <w:r>
                    <w:rPr>
                      <w:sz w:val="18"/>
                      <w:szCs w:val="18"/>
                    </w:rPr>
                    <w:t>m</w:t>
                  </w:r>
                  <w:r>
                    <w:rPr>
                      <w:sz w:val="18"/>
                      <w:szCs w:val="18"/>
                      <w:vertAlign w:val="superscript"/>
                    </w:rPr>
                    <w:t>2</w:t>
                  </w:r>
                </w:p>
              </w:tc>
              <w:tc>
                <w:tcPr>
                  <w:tcW w:w="2226" w:type="dxa"/>
                  <w:noWrap w:val="0"/>
                  <w:vAlign w:val="center"/>
                </w:tcPr>
                <w:p>
                  <w:pPr>
                    <w:pStyle w:val="32"/>
                    <w:jc w:val="center"/>
                    <w:rPr>
                      <w:sz w:val="18"/>
                      <w:szCs w:val="18"/>
                    </w:rPr>
                  </w:pPr>
                  <w:r>
                    <w:rPr>
                      <w:sz w:val="18"/>
                      <w:szCs w:val="18"/>
                    </w:rPr>
                    <w:t>位于生产车间内</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27" w:type="dxa"/>
                  <w:noWrap w:val="0"/>
                  <w:vAlign w:val="center"/>
                </w:tcPr>
                <w:p>
                  <w:pPr>
                    <w:pStyle w:val="32"/>
                    <w:jc w:val="center"/>
                    <w:rPr>
                      <w:sz w:val="18"/>
                      <w:szCs w:val="18"/>
                    </w:rPr>
                  </w:pPr>
                  <w:r>
                    <w:rPr>
                      <w:sz w:val="18"/>
                      <w:szCs w:val="18"/>
                    </w:rPr>
                    <w:t>辅助工程</w:t>
                  </w:r>
                </w:p>
              </w:tc>
              <w:tc>
                <w:tcPr>
                  <w:tcW w:w="1652" w:type="dxa"/>
                  <w:gridSpan w:val="2"/>
                  <w:noWrap w:val="0"/>
                  <w:vAlign w:val="center"/>
                </w:tcPr>
                <w:p>
                  <w:pPr>
                    <w:pStyle w:val="32"/>
                    <w:jc w:val="center"/>
                    <w:rPr>
                      <w:sz w:val="18"/>
                      <w:szCs w:val="18"/>
                    </w:rPr>
                  </w:pPr>
                  <w:r>
                    <w:rPr>
                      <w:sz w:val="18"/>
                      <w:szCs w:val="18"/>
                    </w:rPr>
                    <w:t>办公区</w:t>
                  </w:r>
                </w:p>
              </w:tc>
              <w:tc>
                <w:tcPr>
                  <w:tcW w:w="3437" w:type="dxa"/>
                  <w:noWrap w:val="0"/>
                  <w:vAlign w:val="center"/>
                </w:tcPr>
                <w:p>
                  <w:pPr>
                    <w:pStyle w:val="32"/>
                    <w:jc w:val="center"/>
                    <w:rPr>
                      <w:sz w:val="18"/>
                      <w:szCs w:val="18"/>
                    </w:rPr>
                  </w:pPr>
                  <w:r>
                    <w:rPr>
                      <w:rFonts w:hint="eastAsia"/>
                      <w:sz w:val="18"/>
                      <w:szCs w:val="18"/>
                      <w:lang w:val="en-US" w:eastAsia="zh-CN"/>
                    </w:rPr>
                    <w:t>30</w:t>
                  </w:r>
                  <w:r>
                    <w:rPr>
                      <w:sz w:val="18"/>
                      <w:szCs w:val="18"/>
                    </w:rPr>
                    <w:t>m</w:t>
                  </w:r>
                  <w:r>
                    <w:rPr>
                      <w:sz w:val="18"/>
                      <w:szCs w:val="18"/>
                      <w:vertAlign w:val="superscript"/>
                    </w:rPr>
                    <w:t>2</w:t>
                  </w:r>
                </w:p>
              </w:tc>
              <w:tc>
                <w:tcPr>
                  <w:tcW w:w="2226" w:type="dxa"/>
                  <w:noWrap w:val="0"/>
                  <w:vAlign w:val="center"/>
                </w:tcPr>
                <w:p>
                  <w:pPr>
                    <w:pStyle w:val="32"/>
                    <w:jc w:val="center"/>
                    <w:rPr>
                      <w:sz w:val="18"/>
                      <w:szCs w:val="18"/>
                    </w:rPr>
                  </w:pPr>
                  <w:r>
                    <w:rPr>
                      <w:sz w:val="18"/>
                      <w:szCs w:val="18"/>
                    </w:rPr>
                    <w:t>生产车间东侧，共</w:t>
                  </w:r>
                  <w:r>
                    <w:rPr>
                      <w:rFonts w:hint="eastAsia"/>
                      <w:sz w:val="18"/>
                      <w:szCs w:val="18"/>
                      <w:lang w:val="en-US" w:eastAsia="zh-CN"/>
                    </w:rPr>
                    <w:t>1</w:t>
                  </w:r>
                  <w:r>
                    <w:rPr>
                      <w:sz w:val="18"/>
                      <w:szCs w:val="18"/>
                    </w:rPr>
                    <w:t>层</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27" w:type="dxa"/>
                  <w:vMerge w:val="restart"/>
                  <w:noWrap w:val="0"/>
                  <w:vAlign w:val="center"/>
                </w:tcPr>
                <w:p>
                  <w:pPr>
                    <w:pStyle w:val="32"/>
                    <w:jc w:val="center"/>
                    <w:rPr>
                      <w:sz w:val="18"/>
                      <w:szCs w:val="18"/>
                    </w:rPr>
                  </w:pPr>
                  <w:r>
                    <w:rPr>
                      <w:sz w:val="18"/>
                      <w:szCs w:val="18"/>
                    </w:rPr>
                    <w:t>公用辅助工程</w:t>
                  </w:r>
                </w:p>
              </w:tc>
              <w:tc>
                <w:tcPr>
                  <w:tcW w:w="1652" w:type="dxa"/>
                  <w:gridSpan w:val="2"/>
                  <w:noWrap w:val="0"/>
                  <w:vAlign w:val="center"/>
                </w:tcPr>
                <w:p>
                  <w:pPr>
                    <w:pStyle w:val="32"/>
                    <w:jc w:val="center"/>
                    <w:rPr>
                      <w:sz w:val="18"/>
                      <w:szCs w:val="18"/>
                    </w:rPr>
                  </w:pPr>
                  <w:r>
                    <w:rPr>
                      <w:sz w:val="18"/>
                      <w:szCs w:val="18"/>
                    </w:rPr>
                    <w:t>给水</w:t>
                  </w:r>
                </w:p>
              </w:tc>
              <w:tc>
                <w:tcPr>
                  <w:tcW w:w="3437" w:type="dxa"/>
                  <w:noWrap w:val="0"/>
                  <w:vAlign w:val="center"/>
                </w:tcPr>
                <w:p>
                  <w:pPr>
                    <w:pStyle w:val="32"/>
                    <w:jc w:val="center"/>
                    <w:rPr>
                      <w:sz w:val="18"/>
                      <w:szCs w:val="18"/>
                    </w:rPr>
                  </w:pPr>
                  <w:r>
                    <w:rPr>
                      <w:rFonts w:hint="eastAsia"/>
                      <w:sz w:val="18"/>
                      <w:szCs w:val="18"/>
                      <w:lang w:val="en-US" w:eastAsia="zh-CN"/>
                    </w:rPr>
                    <w:t>240</w:t>
                  </w:r>
                  <w:r>
                    <w:rPr>
                      <w:sz w:val="18"/>
                      <w:szCs w:val="18"/>
                    </w:rPr>
                    <w:t>t/a</w:t>
                  </w:r>
                </w:p>
              </w:tc>
              <w:tc>
                <w:tcPr>
                  <w:tcW w:w="2226" w:type="dxa"/>
                  <w:noWrap w:val="0"/>
                  <w:vAlign w:val="center"/>
                </w:tcPr>
                <w:p>
                  <w:pPr>
                    <w:pStyle w:val="32"/>
                    <w:jc w:val="center"/>
                    <w:rPr>
                      <w:sz w:val="18"/>
                      <w:szCs w:val="18"/>
                    </w:rPr>
                  </w:pPr>
                  <w:r>
                    <w:rPr>
                      <w:sz w:val="18"/>
                      <w:szCs w:val="18"/>
                    </w:rPr>
                    <w:t>来自当地市政给水管网</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27" w:type="dxa"/>
                  <w:vMerge w:val="continue"/>
                  <w:noWrap w:val="0"/>
                  <w:vAlign w:val="center"/>
                </w:tcPr>
                <w:p>
                  <w:pPr>
                    <w:jc w:val="center"/>
                    <w:rPr>
                      <w:sz w:val="18"/>
                      <w:szCs w:val="18"/>
                    </w:rPr>
                  </w:pPr>
                </w:p>
              </w:tc>
              <w:tc>
                <w:tcPr>
                  <w:tcW w:w="1652" w:type="dxa"/>
                  <w:gridSpan w:val="2"/>
                  <w:noWrap w:val="0"/>
                  <w:vAlign w:val="center"/>
                </w:tcPr>
                <w:p>
                  <w:pPr>
                    <w:pStyle w:val="32"/>
                    <w:jc w:val="center"/>
                    <w:rPr>
                      <w:sz w:val="18"/>
                      <w:szCs w:val="18"/>
                    </w:rPr>
                  </w:pPr>
                  <w:r>
                    <w:rPr>
                      <w:sz w:val="18"/>
                      <w:szCs w:val="18"/>
                    </w:rPr>
                    <w:t>排水</w:t>
                  </w:r>
                </w:p>
              </w:tc>
              <w:tc>
                <w:tcPr>
                  <w:tcW w:w="3437" w:type="dxa"/>
                  <w:noWrap w:val="0"/>
                  <w:vAlign w:val="center"/>
                </w:tcPr>
                <w:p>
                  <w:pPr>
                    <w:pStyle w:val="32"/>
                    <w:jc w:val="center"/>
                    <w:rPr>
                      <w:sz w:val="18"/>
                      <w:szCs w:val="18"/>
                      <w:highlight w:val="yellow"/>
                    </w:rPr>
                  </w:pPr>
                  <w:r>
                    <w:rPr>
                      <w:rFonts w:hint="eastAsia"/>
                      <w:sz w:val="18"/>
                      <w:szCs w:val="18"/>
                      <w:lang w:val="en-US" w:eastAsia="zh-CN"/>
                    </w:rPr>
                    <w:t>192</w:t>
                  </w:r>
                  <w:r>
                    <w:rPr>
                      <w:sz w:val="18"/>
                      <w:szCs w:val="18"/>
                    </w:rPr>
                    <w:t>t/a</w:t>
                  </w:r>
                </w:p>
              </w:tc>
              <w:tc>
                <w:tcPr>
                  <w:tcW w:w="2226" w:type="dxa"/>
                  <w:noWrap w:val="0"/>
                  <w:vAlign w:val="center"/>
                </w:tcPr>
                <w:p>
                  <w:pPr>
                    <w:pStyle w:val="32"/>
                    <w:jc w:val="center"/>
                    <w:rPr>
                      <w:sz w:val="18"/>
                      <w:szCs w:val="18"/>
                    </w:rPr>
                  </w:pPr>
                  <w:r>
                    <w:rPr>
                      <w:sz w:val="18"/>
                      <w:szCs w:val="18"/>
                    </w:rPr>
                    <w:t>雨污分流，生活污水排入市政污水管网，接管进武南污水处理厂集中处理；雨水排入市政雨水管网</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27" w:type="dxa"/>
                  <w:vMerge w:val="continue"/>
                  <w:noWrap w:val="0"/>
                  <w:vAlign w:val="center"/>
                </w:tcPr>
                <w:p>
                  <w:pPr>
                    <w:jc w:val="center"/>
                    <w:rPr>
                      <w:sz w:val="18"/>
                      <w:szCs w:val="18"/>
                    </w:rPr>
                  </w:pPr>
                </w:p>
              </w:tc>
              <w:tc>
                <w:tcPr>
                  <w:tcW w:w="1652" w:type="dxa"/>
                  <w:gridSpan w:val="2"/>
                  <w:noWrap w:val="0"/>
                  <w:vAlign w:val="center"/>
                </w:tcPr>
                <w:p>
                  <w:pPr>
                    <w:pStyle w:val="32"/>
                    <w:jc w:val="center"/>
                    <w:rPr>
                      <w:sz w:val="18"/>
                      <w:szCs w:val="18"/>
                    </w:rPr>
                  </w:pPr>
                  <w:r>
                    <w:rPr>
                      <w:sz w:val="18"/>
                      <w:szCs w:val="18"/>
                    </w:rPr>
                    <w:t>供电</w:t>
                  </w:r>
                </w:p>
              </w:tc>
              <w:tc>
                <w:tcPr>
                  <w:tcW w:w="3437" w:type="dxa"/>
                  <w:noWrap w:val="0"/>
                  <w:vAlign w:val="center"/>
                </w:tcPr>
                <w:p>
                  <w:pPr>
                    <w:pStyle w:val="32"/>
                    <w:jc w:val="center"/>
                    <w:rPr>
                      <w:sz w:val="18"/>
                      <w:szCs w:val="18"/>
                      <w:highlight w:val="yellow"/>
                    </w:rPr>
                  </w:pPr>
                  <w:r>
                    <w:rPr>
                      <w:rFonts w:hint="eastAsia"/>
                      <w:sz w:val="18"/>
                      <w:szCs w:val="18"/>
                      <w:lang w:val="en-US" w:eastAsia="zh-CN"/>
                    </w:rPr>
                    <w:t>6.48</w:t>
                  </w:r>
                  <w:r>
                    <w:rPr>
                      <w:sz w:val="18"/>
                      <w:szCs w:val="18"/>
                    </w:rPr>
                    <w:t>万kwh/a</w:t>
                  </w:r>
                </w:p>
              </w:tc>
              <w:tc>
                <w:tcPr>
                  <w:tcW w:w="2226" w:type="dxa"/>
                  <w:noWrap w:val="0"/>
                  <w:vAlign w:val="center"/>
                </w:tcPr>
                <w:p>
                  <w:pPr>
                    <w:pStyle w:val="32"/>
                    <w:jc w:val="center"/>
                    <w:rPr>
                      <w:sz w:val="18"/>
                      <w:szCs w:val="18"/>
                    </w:rPr>
                  </w:pPr>
                  <w:r>
                    <w:rPr>
                      <w:sz w:val="18"/>
                      <w:szCs w:val="18"/>
                    </w:rPr>
                    <w:t>来自当地市政电网</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27" w:type="dxa"/>
                  <w:vMerge w:val="restart"/>
                  <w:noWrap w:val="0"/>
                  <w:vAlign w:val="center"/>
                </w:tcPr>
                <w:p>
                  <w:pPr>
                    <w:pStyle w:val="32"/>
                    <w:jc w:val="center"/>
                    <w:rPr>
                      <w:sz w:val="18"/>
                      <w:szCs w:val="18"/>
                    </w:rPr>
                  </w:pPr>
                  <w:r>
                    <w:rPr>
                      <w:sz w:val="18"/>
                      <w:szCs w:val="18"/>
                    </w:rPr>
                    <w:t>环保工程</w:t>
                  </w:r>
                </w:p>
              </w:tc>
              <w:tc>
                <w:tcPr>
                  <w:tcW w:w="1652" w:type="dxa"/>
                  <w:gridSpan w:val="2"/>
                  <w:noWrap w:val="0"/>
                  <w:vAlign w:val="center"/>
                </w:tcPr>
                <w:p>
                  <w:pPr>
                    <w:pStyle w:val="32"/>
                    <w:jc w:val="center"/>
                    <w:rPr>
                      <w:sz w:val="18"/>
                      <w:szCs w:val="18"/>
                    </w:rPr>
                  </w:pPr>
                  <w:r>
                    <w:rPr>
                      <w:sz w:val="18"/>
                      <w:szCs w:val="18"/>
                    </w:rPr>
                    <w:t>废水治理</w:t>
                  </w:r>
                </w:p>
              </w:tc>
              <w:tc>
                <w:tcPr>
                  <w:tcW w:w="3437" w:type="dxa"/>
                  <w:noWrap w:val="0"/>
                  <w:vAlign w:val="center"/>
                </w:tcPr>
                <w:p>
                  <w:pPr>
                    <w:pStyle w:val="32"/>
                    <w:jc w:val="center"/>
                    <w:rPr>
                      <w:sz w:val="18"/>
                      <w:szCs w:val="18"/>
                    </w:rPr>
                  </w:pPr>
                  <w:r>
                    <w:rPr>
                      <w:sz w:val="18"/>
                      <w:szCs w:val="18"/>
                    </w:rPr>
                    <w:t>生活污水</w:t>
                  </w:r>
                  <w:r>
                    <w:rPr>
                      <w:rFonts w:hint="eastAsia"/>
                      <w:sz w:val="18"/>
                      <w:szCs w:val="18"/>
                      <w:lang w:val="en-US" w:eastAsia="zh-CN"/>
                    </w:rPr>
                    <w:t>192</w:t>
                  </w:r>
                  <w:r>
                    <w:rPr>
                      <w:sz w:val="18"/>
                      <w:szCs w:val="18"/>
                    </w:rPr>
                    <w:t>t/a</w:t>
                  </w:r>
                </w:p>
              </w:tc>
              <w:tc>
                <w:tcPr>
                  <w:tcW w:w="2226" w:type="dxa"/>
                  <w:noWrap w:val="0"/>
                  <w:vAlign w:val="center"/>
                </w:tcPr>
                <w:p>
                  <w:pPr>
                    <w:pStyle w:val="32"/>
                    <w:jc w:val="center"/>
                    <w:rPr>
                      <w:sz w:val="18"/>
                      <w:szCs w:val="18"/>
                    </w:rPr>
                  </w:pPr>
                  <w:r>
                    <w:rPr>
                      <w:sz w:val="18"/>
                      <w:szCs w:val="18"/>
                    </w:rPr>
                    <w:t>依托厂区内污水管道接管进武南污水处理厂集中处理</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27" w:type="dxa"/>
                  <w:vMerge w:val="continue"/>
                  <w:noWrap w:val="0"/>
                  <w:vAlign w:val="center"/>
                </w:tcPr>
                <w:p>
                  <w:pPr>
                    <w:pStyle w:val="32"/>
                    <w:jc w:val="center"/>
                    <w:rPr>
                      <w:sz w:val="18"/>
                      <w:szCs w:val="18"/>
                    </w:rPr>
                  </w:pPr>
                </w:p>
              </w:tc>
              <w:tc>
                <w:tcPr>
                  <w:tcW w:w="681" w:type="dxa"/>
                  <w:noWrap w:val="0"/>
                  <w:vAlign w:val="center"/>
                </w:tcPr>
                <w:p>
                  <w:pPr>
                    <w:pStyle w:val="32"/>
                    <w:jc w:val="center"/>
                    <w:rPr>
                      <w:sz w:val="18"/>
                      <w:szCs w:val="18"/>
                    </w:rPr>
                  </w:pPr>
                  <w:r>
                    <w:rPr>
                      <w:sz w:val="18"/>
                      <w:szCs w:val="18"/>
                    </w:rPr>
                    <w:t>废气治理</w:t>
                  </w:r>
                </w:p>
              </w:tc>
              <w:tc>
                <w:tcPr>
                  <w:tcW w:w="971" w:type="dxa"/>
                  <w:noWrap w:val="0"/>
                  <w:vAlign w:val="center"/>
                </w:tcPr>
                <w:p>
                  <w:pPr>
                    <w:pStyle w:val="32"/>
                    <w:jc w:val="center"/>
                    <w:rPr>
                      <w:sz w:val="18"/>
                      <w:szCs w:val="18"/>
                    </w:rPr>
                  </w:pPr>
                  <w:r>
                    <w:rPr>
                      <w:sz w:val="18"/>
                      <w:szCs w:val="18"/>
                    </w:rPr>
                    <w:t>吹塑、印刷废气</w:t>
                  </w:r>
                </w:p>
              </w:tc>
              <w:tc>
                <w:tcPr>
                  <w:tcW w:w="3437" w:type="dxa"/>
                  <w:noWrap w:val="0"/>
                  <w:vAlign w:val="center"/>
                </w:tcPr>
                <w:p>
                  <w:pPr>
                    <w:pStyle w:val="32"/>
                    <w:jc w:val="center"/>
                    <w:rPr>
                      <w:sz w:val="18"/>
                      <w:szCs w:val="18"/>
                    </w:rPr>
                  </w:pPr>
                  <w:r>
                    <w:rPr>
                      <w:rFonts w:hint="eastAsia"/>
                      <w:sz w:val="18"/>
                      <w:szCs w:val="18"/>
                      <w:lang w:val="en-US" w:eastAsia="zh-CN"/>
                    </w:rPr>
                    <w:t>吹塑、制袋、烫袋</w:t>
                  </w:r>
                  <w:r>
                    <w:rPr>
                      <w:sz w:val="18"/>
                      <w:szCs w:val="18"/>
                    </w:rPr>
                    <w:t>工序产生的</w:t>
                  </w:r>
                  <w:r>
                    <w:rPr>
                      <w:rFonts w:hint="eastAsia"/>
                      <w:sz w:val="18"/>
                      <w:szCs w:val="18"/>
                      <w:lang w:val="en-US" w:eastAsia="zh-CN"/>
                    </w:rPr>
                    <w:t>废气</w:t>
                  </w:r>
                  <w:r>
                    <w:rPr>
                      <w:rFonts w:hint="eastAsia"/>
                      <w:sz w:val="18"/>
                      <w:szCs w:val="18"/>
                    </w:rPr>
                    <w:t>经管道负压收集后，进1套“二级活性炭吸附装置”（TA001）处理</w:t>
                  </w:r>
                  <w:r>
                    <w:rPr>
                      <w:rFonts w:hint="eastAsia"/>
                      <w:sz w:val="18"/>
                      <w:szCs w:val="18"/>
                      <w:lang w:val="en-US" w:eastAsia="zh-CN"/>
                    </w:rPr>
                    <w:t>后</w:t>
                  </w:r>
                  <w:r>
                    <w:rPr>
                      <w:rFonts w:hint="eastAsia"/>
                      <w:sz w:val="18"/>
                      <w:szCs w:val="18"/>
                    </w:rPr>
                    <w:t>通过1根15m高的</w:t>
                  </w:r>
                  <w:r>
                    <w:rPr>
                      <w:rFonts w:hint="eastAsia"/>
                      <w:sz w:val="18"/>
                      <w:szCs w:val="18"/>
                      <w:lang w:val="en-US" w:eastAsia="zh-CN"/>
                    </w:rPr>
                    <w:t>DA001</w:t>
                  </w:r>
                  <w:r>
                    <w:rPr>
                      <w:rFonts w:hint="eastAsia"/>
                      <w:sz w:val="18"/>
                      <w:szCs w:val="18"/>
                    </w:rPr>
                    <w:t>排气筒排放</w:t>
                  </w:r>
                </w:p>
              </w:tc>
              <w:tc>
                <w:tcPr>
                  <w:tcW w:w="2226" w:type="dxa"/>
                  <w:noWrap w:val="0"/>
                  <w:vAlign w:val="center"/>
                </w:tcPr>
                <w:p>
                  <w:pPr>
                    <w:pStyle w:val="32"/>
                    <w:jc w:val="center"/>
                    <w:rPr>
                      <w:sz w:val="18"/>
                      <w:szCs w:val="18"/>
                    </w:rPr>
                  </w:pPr>
                  <w:r>
                    <w:rPr>
                      <w:color w:val="000000" w:themeColor="text1"/>
                      <w:sz w:val="18"/>
                      <w:szCs w:val="18"/>
                      <w:shd w:val="clear" w:color="auto" w:fill="auto"/>
                      <w14:textFill>
                        <w14:solidFill>
                          <w14:schemeClr w14:val="tx1"/>
                        </w14:solidFill>
                      </w14:textFill>
                    </w:rPr>
                    <w:t>风量</w:t>
                  </w:r>
                  <w:r>
                    <w:rPr>
                      <w:rFonts w:hint="eastAsia"/>
                      <w:color w:val="000000" w:themeColor="text1"/>
                      <w:sz w:val="18"/>
                      <w:szCs w:val="18"/>
                      <w:shd w:val="clear" w:color="auto" w:fill="auto"/>
                      <w:lang w:val="en-US" w:eastAsia="zh-CN"/>
                      <w14:textFill>
                        <w14:solidFill>
                          <w14:schemeClr w14:val="tx1"/>
                        </w14:solidFill>
                      </w14:textFill>
                    </w:rPr>
                    <w:t>3</w:t>
                  </w:r>
                  <w:r>
                    <w:rPr>
                      <w:color w:val="000000" w:themeColor="text1"/>
                      <w:sz w:val="18"/>
                      <w:szCs w:val="18"/>
                      <w:shd w:val="clear" w:color="auto" w:fill="auto"/>
                      <w14:textFill>
                        <w14:solidFill>
                          <w14:schemeClr w14:val="tx1"/>
                        </w14:solidFill>
                      </w14:textFill>
                    </w:rPr>
                    <w:t>000m</w:t>
                  </w:r>
                  <w:r>
                    <w:rPr>
                      <w:color w:val="000000" w:themeColor="text1"/>
                      <w:sz w:val="18"/>
                      <w:szCs w:val="18"/>
                      <w:shd w:val="clear" w:color="auto" w:fill="auto"/>
                      <w:vertAlign w:val="superscript"/>
                      <w14:textFill>
                        <w14:solidFill>
                          <w14:schemeClr w14:val="tx1"/>
                        </w14:solidFill>
                      </w14:textFill>
                    </w:rPr>
                    <w:t>3</w:t>
                  </w:r>
                  <w:r>
                    <w:rPr>
                      <w:color w:val="000000" w:themeColor="text1"/>
                      <w:sz w:val="18"/>
                      <w:szCs w:val="18"/>
                      <w:shd w:val="clear" w:color="auto" w:fill="auto"/>
                      <w14:textFill>
                        <w14:solidFill>
                          <w14:schemeClr w14:val="tx1"/>
                        </w14:solidFill>
                      </w14:textFill>
                    </w:rPr>
                    <w:t>/h</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27" w:type="dxa"/>
                  <w:vMerge w:val="continue"/>
                  <w:noWrap w:val="0"/>
                  <w:vAlign w:val="center"/>
                </w:tcPr>
                <w:p>
                  <w:pPr>
                    <w:pStyle w:val="32"/>
                    <w:jc w:val="center"/>
                    <w:rPr>
                      <w:sz w:val="18"/>
                      <w:szCs w:val="18"/>
                    </w:rPr>
                  </w:pPr>
                </w:p>
              </w:tc>
              <w:tc>
                <w:tcPr>
                  <w:tcW w:w="1652" w:type="dxa"/>
                  <w:gridSpan w:val="2"/>
                  <w:noWrap w:val="0"/>
                  <w:vAlign w:val="center"/>
                </w:tcPr>
                <w:p>
                  <w:pPr>
                    <w:pStyle w:val="32"/>
                    <w:jc w:val="center"/>
                    <w:rPr>
                      <w:sz w:val="18"/>
                      <w:szCs w:val="18"/>
                    </w:rPr>
                  </w:pPr>
                  <w:r>
                    <w:rPr>
                      <w:sz w:val="18"/>
                      <w:szCs w:val="18"/>
                    </w:rPr>
                    <w:t>噪声防治</w:t>
                  </w:r>
                </w:p>
              </w:tc>
              <w:tc>
                <w:tcPr>
                  <w:tcW w:w="5663" w:type="dxa"/>
                  <w:gridSpan w:val="2"/>
                  <w:noWrap w:val="0"/>
                  <w:vAlign w:val="center"/>
                </w:tcPr>
                <w:p>
                  <w:pPr>
                    <w:pStyle w:val="32"/>
                    <w:jc w:val="center"/>
                    <w:rPr>
                      <w:sz w:val="18"/>
                      <w:szCs w:val="18"/>
                    </w:rPr>
                  </w:pPr>
                  <w:r>
                    <w:rPr>
                      <w:sz w:val="18"/>
                      <w:szCs w:val="18"/>
                    </w:rPr>
                    <w:t>合理布局、厂房隔声、设备减振、达标排放</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27" w:type="dxa"/>
                  <w:vMerge w:val="continue"/>
                  <w:noWrap w:val="0"/>
                  <w:vAlign w:val="center"/>
                </w:tcPr>
                <w:p>
                  <w:pPr>
                    <w:jc w:val="center"/>
                    <w:rPr>
                      <w:sz w:val="18"/>
                      <w:szCs w:val="18"/>
                    </w:rPr>
                  </w:pPr>
                </w:p>
              </w:tc>
              <w:tc>
                <w:tcPr>
                  <w:tcW w:w="681" w:type="dxa"/>
                  <w:vMerge w:val="restart"/>
                  <w:noWrap w:val="0"/>
                  <w:vAlign w:val="center"/>
                </w:tcPr>
                <w:p>
                  <w:pPr>
                    <w:pStyle w:val="32"/>
                    <w:jc w:val="center"/>
                    <w:rPr>
                      <w:sz w:val="18"/>
                      <w:szCs w:val="18"/>
                    </w:rPr>
                  </w:pPr>
                  <w:r>
                    <w:rPr>
                      <w:sz w:val="18"/>
                      <w:szCs w:val="18"/>
                    </w:rPr>
                    <w:t>固废</w:t>
                  </w:r>
                </w:p>
                <w:p>
                  <w:pPr>
                    <w:pStyle w:val="32"/>
                    <w:jc w:val="center"/>
                    <w:rPr>
                      <w:sz w:val="18"/>
                      <w:szCs w:val="18"/>
                    </w:rPr>
                  </w:pPr>
                  <w:r>
                    <w:rPr>
                      <w:sz w:val="18"/>
                      <w:szCs w:val="18"/>
                    </w:rPr>
                    <w:t>处置</w:t>
                  </w:r>
                </w:p>
              </w:tc>
              <w:tc>
                <w:tcPr>
                  <w:tcW w:w="971" w:type="dxa"/>
                  <w:noWrap w:val="0"/>
                  <w:vAlign w:val="center"/>
                </w:tcPr>
                <w:p>
                  <w:pPr>
                    <w:pStyle w:val="32"/>
                    <w:jc w:val="center"/>
                    <w:rPr>
                      <w:sz w:val="18"/>
                      <w:szCs w:val="18"/>
                    </w:rPr>
                  </w:pPr>
                  <w:r>
                    <w:rPr>
                      <w:sz w:val="18"/>
                      <w:szCs w:val="18"/>
                    </w:rPr>
                    <w:t>一般固废暂存区</w:t>
                  </w:r>
                </w:p>
              </w:tc>
              <w:tc>
                <w:tcPr>
                  <w:tcW w:w="3437" w:type="dxa"/>
                  <w:noWrap w:val="0"/>
                  <w:vAlign w:val="center"/>
                </w:tcPr>
                <w:p>
                  <w:pPr>
                    <w:pStyle w:val="32"/>
                    <w:jc w:val="center"/>
                    <w:rPr>
                      <w:sz w:val="18"/>
                      <w:szCs w:val="18"/>
                      <w:highlight w:val="yellow"/>
                    </w:rPr>
                  </w:pPr>
                  <w:r>
                    <w:rPr>
                      <w:sz w:val="18"/>
                      <w:szCs w:val="18"/>
                    </w:rPr>
                    <w:t>新建一座10m</w:t>
                  </w:r>
                  <w:r>
                    <w:rPr>
                      <w:sz w:val="18"/>
                      <w:szCs w:val="18"/>
                      <w:vertAlign w:val="superscript"/>
                    </w:rPr>
                    <w:t>2</w:t>
                  </w:r>
                  <w:r>
                    <w:rPr>
                      <w:sz w:val="18"/>
                      <w:szCs w:val="18"/>
                    </w:rPr>
                    <w:t>一般固废仓库，位于生产车间</w:t>
                  </w:r>
                  <w:r>
                    <w:rPr>
                      <w:rFonts w:hint="eastAsia"/>
                      <w:sz w:val="18"/>
                      <w:szCs w:val="18"/>
                      <w:lang w:val="en-US" w:eastAsia="zh-CN"/>
                    </w:rPr>
                    <w:t>东侧</w:t>
                  </w:r>
                </w:p>
              </w:tc>
              <w:tc>
                <w:tcPr>
                  <w:tcW w:w="2226" w:type="dxa"/>
                  <w:vMerge w:val="restart"/>
                  <w:noWrap w:val="0"/>
                  <w:vAlign w:val="center"/>
                </w:tcPr>
                <w:p>
                  <w:pPr>
                    <w:pStyle w:val="32"/>
                    <w:jc w:val="center"/>
                    <w:rPr>
                      <w:sz w:val="18"/>
                      <w:szCs w:val="18"/>
                    </w:rPr>
                  </w:pPr>
                  <w:r>
                    <w:rPr>
                      <w:sz w:val="18"/>
                      <w:szCs w:val="18"/>
                    </w:rPr>
                    <w:t>满足环境管理要求，分类收集、处置，处理率100%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627" w:type="dxa"/>
                  <w:vMerge w:val="continue"/>
                  <w:noWrap w:val="0"/>
                  <w:vAlign w:val="center"/>
                </w:tcPr>
                <w:p>
                  <w:pPr>
                    <w:jc w:val="center"/>
                    <w:rPr>
                      <w:sz w:val="18"/>
                      <w:szCs w:val="18"/>
                    </w:rPr>
                  </w:pPr>
                </w:p>
              </w:tc>
              <w:tc>
                <w:tcPr>
                  <w:tcW w:w="681" w:type="dxa"/>
                  <w:vMerge w:val="continue"/>
                  <w:noWrap w:val="0"/>
                  <w:vAlign w:val="center"/>
                </w:tcPr>
                <w:p>
                  <w:pPr>
                    <w:jc w:val="center"/>
                    <w:rPr>
                      <w:sz w:val="18"/>
                      <w:szCs w:val="18"/>
                    </w:rPr>
                  </w:pPr>
                </w:p>
              </w:tc>
              <w:tc>
                <w:tcPr>
                  <w:tcW w:w="971" w:type="dxa"/>
                  <w:noWrap w:val="0"/>
                  <w:vAlign w:val="center"/>
                </w:tcPr>
                <w:p>
                  <w:pPr>
                    <w:pStyle w:val="32"/>
                    <w:jc w:val="center"/>
                    <w:rPr>
                      <w:sz w:val="18"/>
                      <w:szCs w:val="18"/>
                    </w:rPr>
                  </w:pPr>
                  <w:r>
                    <w:rPr>
                      <w:sz w:val="18"/>
                      <w:szCs w:val="18"/>
                    </w:rPr>
                    <w:t>危废仓库</w:t>
                  </w:r>
                </w:p>
              </w:tc>
              <w:tc>
                <w:tcPr>
                  <w:tcW w:w="3437" w:type="dxa"/>
                  <w:noWrap w:val="0"/>
                  <w:vAlign w:val="center"/>
                </w:tcPr>
                <w:p>
                  <w:pPr>
                    <w:pStyle w:val="32"/>
                    <w:jc w:val="center"/>
                    <w:rPr>
                      <w:sz w:val="18"/>
                      <w:szCs w:val="18"/>
                    </w:rPr>
                  </w:pPr>
                  <w:r>
                    <w:rPr>
                      <w:sz w:val="18"/>
                      <w:szCs w:val="18"/>
                    </w:rPr>
                    <w:t>新建一座</w:t>
                  </w:r>
                  <w:r>
                    <w:rPr>
                      <w:rFonts w:hint="eastAsia"/>
                      <w:sz w:val="18"/>
                      <w:szCs w:val="18"/>
                      <w:lang w:val="en-US" w:eastAsia="zh-CN"/>
                    </w:rPr>
                    <w:t>5</w:t>
                  </w:r>
                  <w:r>
                    <w:rPr>
                      <w:sz w:val="18"/>
                      <w:szCs w:val="18"/>
                    </w:rPr>
                    <w:t>m</w:t>
                  </w:r>
                  <w:r>
                    <w:rPr>
                      <w:sz w:val="18"/>
                      <w:szCs w:val="18"/>
                      <w:vertAlign w:val="superscript"/>
                    </w:rPr>
                    <w:t>2</w:t>
                  </w:r>
                  <w:r>
                    <w:rPr>
                      <w:sz w:val="18"/>
                      <w:szCs w:val="18"/>
                    </w:rPr>
                    <w:t>危险废物仓库，位于生产车间内</w:t>
                  </w:r>
                  <w:r>
                    <w:rPr>
                      <w:rFonts w:hint="eastAsia"/>
                      <w:sz w:val="18"/>
                      <w:szCs w:val="18"/>
                      <w:lang w:val="en-US" w:eastAsia="zh-CN"/>
                    </w:rPr>
                    <w:t>东</w:t>
                  </w:r>
                  <w:r>
                    <w:rPr>
                      <w:sz w:val="18"/>
                      <w:szCs w:val="18"/>
                    </w:rPr>
                    <w:t>南角</w:t>
                  </w:r>
                </w:p>
              </w:tc>
              <w:tc>
                <w:tcPr>
                  <w:tcW w:w="2226" w:type="dxa"/>
                  <w:vMerge w:val="continue"/>
                  <w:noWrap w:val="0"/>
                  <w:vAlign w:val="center"/>
                </w:tcPr>
                <w:p>
                  <w:pPr>
                    <w:jc w:val="center"/>
                    <w:rPr>
                      <w:sz w:val="18"/>
                      <w:szCs w:val="18"/>
                    </w:rPr>
                  </w:pPr>
                </w:p>
              </w:tc>
            </w:tr>
          </w:tbl>
          <w:p>
            <w:pPr>
              <w:spacing w:line="360" w:lineRule="auto"/>
              <w:ind w:firstLine="422" w:firstLineChars="200"/>
              <w:rPr>
                <w:rFonts w:hint="eastAsia"/>
                <w:b/>
                <w:szCs w:val="21"/>
              </w:rPr>
            </w:pPr>
          </w:p>
          <w:p>
            <w:pPr>
              <w:spacing w:line="360" w:lineRule="auto"/>
              <w:ind w:firstLine="422" w:firstLineChars="200"/>
              <w:rPr>
                <w:rFonts w:hint="eastAsia"/>
                <w:b/>
                <w:szCs w:val="21"/>
              </w:rPr>
            </w:pPr>
          </w:p>
          <w:p>
            <w:pPr>
              <w:spacing w:line="360" w:lineRule="auto"/>
              <w:ind w:firstLine="422" w:firstLineChars="200"/>
              <w:rPr>
                <w:rFonts w:hint="eastAsia"/>
                <w:b/>
                <w:szCs w:val="21"/>
              </w:rPr>
            </w:pPr>
          </w:p>
          <w:p>
            <w:pPr>
              <w:adjustRightInd w:val="0"/>
              <w:snapToGrid w:val="0"/>
              <w:rPr>
                <w:rFonts w:ascii="宋体" w:hAnsi="宋体" w:cs="宋体"/>
                <w:bCs/>
                <w:szCs w:val="21"/>
              </w:rPr>
            </w:pPr>
          </w:p>
          <w:p>
            <w:pPr>
              <w:adjustRightInd w:val="0"/>
              <w:snapToGrid w:val="0"/>
              <w:rPr>
                <w:rFonts w:ascii="宋体" w:hAnsi="宋体" w:cs="宋体"/>
                <w:bCs/>
                <w:szCs w:val="21"/>
              </w:rPr>
            </w:pPr>
          </w:p>
          <w:p>
            <w:pPr>
              <w:adjustRightInd w:val="0"/>
              <w:snapToGrid w:val="0"/>
              <w:rPr>
                <w:rFonts w:ascii="宋体" w:hAnsi="宋体" w:cs="宋体"/>
                <w:bCs/>
                <w:szCs w:val="21"/>
              </w:rPr>
            </w:pPr>
          </w:p>
        </w:tc>
      </w:tr>
    </w:tbl>
    <w:p>
      <w:pPr>
        <w:pStyle w:val="17"/>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tbl>
      <w:tblPr>
        <w:tblStyle w:val="21"/>
        <w:tblW w:w="132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822"/>
        <w:gridCol w:w="124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trHeight w:val="8644" w:hRule="atLeast"/>
        </w:trPr>
        <w:tc>
          <w:tcPr>
            <w:tcW w:w="822" w:type="dxa"/>
            <w:noWrap w:val="0"/>
            <w:vAlign w:val="center"/>
          </w:tcPr>
          <w:p>
            <w:pPr>
              <w:pStyle w:val="17"/>
              <w:spacing w:before="0" w:beforeAutospacing="0" w:after="0" w:afterAutospacing="0"/>
              <w:jc w:val="center"/>
              <w:outlineLvl w:val="0"/>
              <w:rPr>
                <w:rFonts w:ascii="Times New Roman" w:hAnsi="Times New Roman"/>
                <w:snapToGrid w:val="0"/>
                <w:sz w:val="21"/>
                <w:szCs w:val="21"/>
              </w:rPr>
            </w:pPr>
            <w:r>
              <w:rPr>
                <w:rFonts w:ascii="Times New Roman" w:hAnsi="Times New Roman"/>
                <w:sz w:val="21"/>
                <w:szCs w:val="21"/>
              </w:rPr>
              <w:t>建设内容</w:t>
            </w:r>
          </w:p>
        </w:tc>
        <w:tc>
          <w:tcPr>
            <w:tcW w:w="12450" w:type="dxa"/>
            <w:noWrap w:val="0"/>
            <w:vAlign w:val="top"/>
          </w:tcPr>
          <w:p>
            <w:pPr>
              <w:numPr>
                <w:ilvl w:val="0"/>
                <w:numId w:val="3"/>
              </w:numPr>
              <w:spacing w:line="480" w:lineRule="exact"/>
              <w:ind w:firstLine="422" w:firstLineChars="200"/>
              <w:rPr>
                <w:b/>
                <w:bCs/>
              </w:rPr>
            </w:pPr>
            <w:r>
              <w:rPr>
                <w:b/>
                <w:bCs/>
              </w:rPr>
              <w:t>主要原辅材料使用情况</w:t>
            </w:r>
          </w:p>
          <w:p>
            <w:pPr>
              <w:spacing w:line="480" w:lineRule="exact"/>
              <w:ind w:left="420" w:leftChars="200"/>
            </w:pPr>
            <w:r>
              <w:t>本项目主要原辅料消耗情况见下表2-3。</w:t>
            </w:r>
          </w:p>
          <w:p>
            <w:pPr>
              <w:pStyle w:val="50"/>
              <w:spacing w:line="400" w:lineRule="exact"/>
              <w:ind w:firstLine="0" w:firstLineChars="0"/>
              <w:jc w:val="center"/>
              <w:rPr>
                <w:b/>
                <w:bCs/>
                <w:sz w:val="18"/>
                <w:szCs w:val="18"/>
              </w:rPr>
            </w:pPr>
            <w:r>
              <w:rPr>
                <w:b/>
                <w:bCs/>
                <w:sz w:val="18"/>
                <w:szCs w:val="18"/>
              </w:rPr>
              <w:t>表2-3  本项目主要原辅材料用量表</w:t>
            </w:r>
          </w:p>
          <w:tbl>
            <w:tblPr>
              <w:tblStyle w:val="21"/>
              <w:tblW w:w="12227" w:type="dxa"/>
              <w:jc w:val="center"/>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97"/>
              <w:gridCol w:w="2394"/>
              <w:gridCol w:w="2037"/>
              <w:gridCol w:w="654"/>
              <w:gridCol w:w="1146"/>
              <w:gridCol w:w="727"/>
              <w:gridCol w:w="1456"/>
              <w:gridCol w:w="1043"/>
              <w:gridCol w:w="734"/>
              <w:gridCol w:w="1339"/>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697" w:type="dxa"/>
                  <w:noWrap w:val="0"/>
                  <w:tcMar>
                    <w:top w:w="0" w:type="dxa"/>
                    <w:left w:w="108" w:type="dxa"/>
                    <w:bottom w:w="0" w:type="dxa"/>
                    <w:right w:w="108" w:type="dxa"/>
                  </w:tcMar>
                  <w:vAlign w:val="center"/>
                </w:tcPr>
                <w:p>
                  <w:pPr>
                    <w:pStyle w:val="32"/>
                    <w:jc w:val="center"/>
                    <w:rPr>
                      <w:b/>
                      <w:bCs/>
                      <w:sz w:val="18"/>
                      <w:szCs w:val="18"/>
                    </w:rPr>
                  </w:pPr>
                  <w:r>
                    <w:rPr>
                      <w:b/>
                      <w:bCs/>
                      <w:sz w:val="18"/>
                      <w:szCs w:val="18"/>
                    </w:rPr>
                    <w:t>序号</w:t>
                  </w:r>
                </w:p>
              </w:tc>
              <w:tc>
                <w:tcPr>
                  <w:tcW w:w="2394" w:type="dxa"/>
                  <w:noWrap w:val="0"/>
                  <w:tcMar>
                    <w:top w:w="0" w:type="dxa"/>
                    <w:left w:w="108" w:type="dxa"/>
                    <w:bottom w:w="0" w:type="dxa"/>
                    <w:right w:w="108" w:type="dxa"/>
                  </w:tcMar>
                  <w:vAlign w:val="center"/>
                </w:tcPr>
                <w:p>
                  <w:pPr>
                    <w:pStyle w:val="32"/>
                    <w:jc w:val="center"/>
                    <w:rPr>
                      <w:b/>
                      <w:bCs/>
                      <w:sz w:val="18"/>
                      <w:szCs w:val="18"/>
                    </w:rPr>
                  </w:pPr>
                  <w:r>
                    <w:rPr>
                      <w:b/>
                      <w:bCs/>
                      <w:sz w:val="18"/>
                      <w:szCs w:val="18"/>
                    </w:rPr>
                    <w:t>原辅料名称</w:t>
                  </w:r>
                </w:p>
              </w:tc>
              <w:tc>
                <w:tcPr>
                  <w:tcW w:w="2037" w:type="dxa"/>
                  <w:noWrap w:val="0"/>
                  <w:tcMar>
                    <w:top w:w="0" w:type="dxa"/>
                    <w:left w:w="108" w:type="dxa"/>
                    <w:bottom w:w="0" w:type="dxa"/>
                    <w:right w:w="108" w:type="dxa"/>
                  </w:tcMar>
                  <w:vAlign w:val="center"/>
                </w:tcPr>
                <w:p>
                  <w:pPr>
                    <w:pStyle w:val="32"/>
                    <w:jc w:val="center"/>
                    <w:rPr>
                      <w:b/>
                      <w:bCs/>
                      <w:sz w:val="18"/>
                      <w:szCs w:val="18"/>
                    </w:rPr>
                  </w:pPr>
                  <w:r>
                    <w:rPr>
                      <w:b/>
                      <w:bCs/>
                      <w:sz w:val="18"/>
                      <w:szCs w:val="18"/>
                    </w:rPr>
                    <w:t>主要成分及规格</w:t>
                  </w:r>
                </w:p>
              </w:tc>
              <w:tc>
                <w:tcPr>
                  <w:tcW w:w="654" w:type="dxa"/>
                  <w:noWrap w:val="0"/>
                  <w:tcMar>
                    <w:top w:w="0" w:type="dxa"/>
                    <w:left w:w="108" w:type="dxa"/>
                    <w:bottom w:w="0" w:type="dxa"/>
                    <w:right w:w="108" w:type="dxa"/>
                  </w:tcMar>
                  <w:vAlign w:val="center"/>
                </w:tcPr>
                <w:p>
                  <w:pPr>
                    <w:pStyle w:val="32"/>
                    <w:jc w:val="center"/>
                    <w:rPr>
                      <w:b/>
                      <w:bCs/>
                      <w:sz w:val="18"/>
                      <w:szCs w:val="18"/>
                    </w:rPr>
                  </w:pPr>
                  <w:r>
                    <w:rPr>
                      <w:b/>
                      <w:bCs/>
                      <w:sz w:val="18"/>
                      <w:szCs w:val="18"/>
                    </w:rPr>
                    <w:t>形态</w:t>
                  </w:r>
                </w:p>
              </w:tc>
              <w:tc>
                <w:tcPr>
                  <w:tcW w:w="1146" w:type="dxa"/>
                  <w:noWrap w:val="0"/>
                  <w:tcMar>
                    <w:top w:w="0" w:type="dxa"/>
                    <w:left w:w="108" w:type="dxa"/>
                    <w:bottom w:w="0" w:type="dxa"/>
                    <w:right w:w="108" w:type="dxa"/>
                  </w:tcMar>
                  <w:vAlign w:val="center"/>
                </w:tcPr>
                <w:p>
                  <w:pPr>
                    <w:pStyle w:val="32"/>
                    <w:jc w:val="center"/>
                    <w:rPr>
                      <w:b/>
                      <w:bCs/>
                      <w:sz w:val="18"/>
                      <w:szCs w:val="18"/>
                    </w:rPr>
                  </w:pPr>
                  <w:r>
                    <w:rPr>
                      <w:b/>
                      <w:bCs/>
                      <w:sz w:val="18"/>
                      <w:szCs w:val="18"/>
                    </w:rPr>
                    <w:t>设计年用量</w:t>
                  </w:r>
                </w:p>
              </w:tc>
              <w:tc>
                <w:tcPr>
                  <w:tcW w:w="727" w:type="dxa"/>
                  <w:noWrap w:val="0"/>
                  <w:tcMar>
                    <w:top w:w="0" w:type="dxa"/>
                    <w:left w:w="108" w:type="dxa"/>
                    <w:bottom w:w="0" w:type="dxa"/>
                    <w:right w:w="108" w:type="dxa"/>
                  </w:tcMar>
                  <w:vAlign w:val="center"/>
                </w:tcPr>
                <w:p>
                  <w:pPr>
                    <w:pStyle w:val="32"/>
                    <w:jc w:val="center"/>
                    <w:rPr>
                      <w:b/>
                      <w:bCs/>
                      <w:sz w:val="18"/>
                      <w:szCs w:val="18"/>
                    </w:rPr>
                  </w:pPr>
                  <w:r>
                    <w:rPr>
                      <w:b/>
                      <w:bCs/>
                      <w:sz w:val="18"/>
                      <w:szCs w:val="18"/>
                    </w:rPr>
                    <w:t>单位</w:t>
                  </w:r>
                </w:p>
              </w:tc>
              <w:tc>
                <w:tcPr>
                  <w:tcW w:w="1456" w:type="dxa"/>
                  <w:noWrap w:val="0"/>
                  <w:tcMar>
                    <w:top w:w="0" w:type="dxa"/>
                    <w:left w:w="108" w:type="dxa"/>
                    <w:bottom w:w="0" w:type="dxa"/>
                    <w:right w:w="108" w:type="dxa"/>
                  </w:tcMar>
                  <w:vAlign w:val="center"/>
                </w:tcPr>
                <w:p>
                  <w:pPr>
                    <w:pStyle w:val="32"/>
                    <w:jc w:val="center"/>
                    <w:rPr>
                      <w:b/>
                      <w:bCs/>
                      <w:sz w:val="18"/>
                      <w:szCs w:val="18"/>
                    </w:rPr>
                  </w:pPr>
                  <w:r>
                    <w:rPr>
                      <w:b/>
                      <w:bCs/>
                      <w:sz w:val="18"/>
                      <w:szCs w:val="18"/>
                    </w:rPr>
                    <w:t>包装方式及包装规格</w:t>
                  </w:r>
                </w:p>
              </w:tc>
              <w:tc>
                <w:tcPr>
                  <w:tcW w:w="1043" w:type="dxa"/>
                  <w:noWrap w:val="0"/>
                  <w:tcMar>
                    <w:top w:w="0" w:type="dxa"/>
                    <w:left w:w="108" w:type="dxa"/>
                    <w:bottom w:w="0" w:type="dxa"/>
                    <w:right w:w="108" w:type="dxa"/>
                  </w:tcMar>
                  <w:vAlign w:val="center"/>
                </w:tcPr>
                <w:p>
                  <w:pPr>
                    <w:pStyle w:val="32"/>
                    <w:jc w:val="center"/>
                    <w:rPr>
                      <w:b/>
                      <w:bCs/>
                      <w:sz w:val="18"/>
                      <w:szCs w:val="18"/>
                    </w:rPr>
                  </w:pPr>
                  <w:r>
                    <w:rPr>
                      <w:b/>
                      <w:bCs/>
                      <w:sz w:val="18"/>
                      <w:szCs w:val="18"/>
                    </w:rPr>
                    <w:t>厂内最大储存量</w:t>
                  </w:r>
                </w:p>
              </w:tc>
              <w:tc>
                <w:tcPr>
                  <w:tcW w:w="734" w:type="dxa"/>
                  <w:noWrap w:val="0"/>
                  <w:tcMar>
                    <w:top w:w="0" w:type="dxa"/>
                    <w:left w:w="108" w:type="dxa"/>
                    <w:bottom w:w="0" w:type="dxa"/>
                    <w:right w:w="108" w:type="dxa"/>
                  </w:tcMar>
                  <w:vAlign w:val="center"/>
                </w:tcPr>
                <w:p>
                  <w:pPr>
                    <w:pStyle w:val="32"/>
                    <w:jc w:val="center"/>
                    <w:rPr>
                      <w:b/>
                      <w:bCs/>
                      <w:sz w:val="18"/>
                      <w:szCs w:val="18"/>
                    </w:rPr>
                  </w:pPr>
                  <w:r>
                    <w:rPr>
                      <w:b/>
                      <w:bCs/>
                      <w:sz w:val="18"/>
                      <w:szCs w:val="18"/>
                    </w:rPr>
                    <w:t>用途</w:t>
                  </w:r>
                </w:p>
              </w:tc>
              <w:tc>
                <w:tcPr>
                  <w:tcW w:w="1339" w:type="dxa"/>
                  <w:noWrap w:val="0"/>
                  <w:tcMar>
                    <w:top w:w="0" w:type="dxa"/>
                    <w:left w:w="108" w:type="dxa"/>
                    <w:bottom w:w="0" w:type="dxa"/>
                    <w:right w:w="108" w:type="dxa"/>
                  </w:tcMar>
                  <w:vAlign w:val="center"/>
                </w:tcPr>
                <w:p>
                  <w:pPr>
                    <w:pStyle w:val="32"/>
                    <w:jc w:val="center"/>
                    <w:rPr>
                      <w:b/>
                      <w:bCs/>
                      <w:sz w:val="18"/>
                      <w:szCs w:val="18"/>
                    </w:rPr>
                  </w:pPr>
                  <w:r>
                    <w:rPr>
                      <w:b/>
                      <w:bCs/>
                      <w:sz w:val="18"/>
                      <w:szCs w:val="18"/>
                    </w:rPr>
                    <w:t>来源及运输</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697" w:type="dxa"/>
                  <w:noWrap w:val="0"/>
                  <w:tcMar>
                    <w:top w:w="0" w:type="dxa"/>
                    <w:left w:w="108" w:type="dxa"/>
                    <w:bottom w:w="0" w:type="dxa"/>
                    <w:right w:w="108" w:type="dxa"/>
                  </w:tcMar>
                  <w:vAlign w:val="center"/>
                </w:tcPr>
                <w:p>
                  <w:pPr>
                    <w:pStyle w:val="32"/>
                    <w:jc w:val="center"/>
                    <w:rPr>
                      <w:sz w:val="18"/>
                      <w:szCs w:val="18"/>
                    </w:rPr>
                  </w:pPr>
                  <w:r>
                    <w:rPr>
                      <w:sz w:val="18"/>
                      <w:szCs w:val="18"/>
                    </w:rPr>
                    <w:t>1</w:t>
                  </w:r>
                </w:p>
              </w:tc>
              <w:tc>
                <w:tcPr>
                  <w:tcW w:w="2394" w:type="dxa"/>
                  <w:noWrap w:val="0"/>
                  <w:tcMar>
                    <w:top w:w="0" w:type="dxa"/>
                    <w:left w:w="108" w:type="dxa"/>
                    <w:bottom w:w="0" w:type="dxa"/>
                    <w:right w:w="108" w:type="dxa"/>
                  </w:tcMar>
                  <w:vAlign w:val="center"/>
                </w:tcPr>
                <w:p>
                  <w:pPr>
                    <w:pStyle w:val="32"/>
                    <w:jc w:val="center"/>
                    <w:rPr>
                      <w:rFonts w:hint="default" w:eastAsia="宋体"/>
                      <w:sz w:val="18"/>
                      <w:szCs w:val="18"/>
                      <w:lang w:val="en-US" w:eastAsia="zh-CN"/>
                    </w:rPr>
                  </w:pPr>
                  <w:r>
                    <w:rPr>
                      <w:sz w:val="18"/>
                      <w:szCs w:val="18"/>
                    </w:rPr>
                    <w:t>PE</w:t>
                  </w:r>
                  <w:r>
                    <w:rPr>
                      <w:rFonts w:hint="eastAsia"/>
                      <w:sz w:val="18"/>
                      <w:szCs w:val="18"/>
                      <w:lang w:val="en-US" w:eastAsia="zh-CN"/>
                    </w:rPr>
                    <w:t>塑料粒子</w:t>
                  </w:r>
                </w:p>
              </w:tc>
              <w:tc>
                <w:tcPr>
                  <w:tcW w:w="2037" w:type="dxa"/>
                  <w:noWrap w:val="0"/>
                  <w:tcMar>
                    <w:top w:w="0" w:type="dxa"/>
                    <w:left w:w="108" w:type="dxa"/>
                    <w:bottom w:w="0" w:type="dxa"/>
                    <w:right w:w="108" w:type="dxa"/>
                  </w:tcMar>
                  <w:vAlign w:val="center"/>
                </w:tcPr>
                <w:p>
                  <w:pPr>
                    <w:pStyle w:val="32"/>
                    <w:jc w:val="center"/>
                    <w:rPr>
                      <w:sz w:val="18"/>
                      <w:szCs w:val="18"/>
                    </w:rPr>
                  </w:pPr>
                  <w:r>
                    <w:rPr>
                      <w:sz w:val="18"/>
                      <w:szCs w:val="18"/>
                    </w:rPr>
                    <w:t>聚乙烯</w:t>
                  </w:r>
                </w:p>
              </w:tc>
              <w:tc>
                <w:tcPr>
                  <w:tcW w:w="654" w:type="dxa"/>
                  <w:noWrap w:val="0"/>
                  <w:tcMar>
                    <w:top w:w="0" w:type="dxa"/>
                    <w:left w:w="108" w:type="dxa"/>
                    <w:bottom w:w="0" w:type="dxa"/>
                    <w:right w:w="108" w:type="dxa"/>
                  </w:tcMar>
                  <w:vAlign w:val="center"/>
                </w:tcPr>
                <w:p>
                  <w:pPr>
                    <w:pStyle w:val="32"/>
                    <w:jc w:val="center"/>
                    <w:rPr>
                      <w:sz w:val="18"/>
                      <w:szCs w:val="18"/>
                    </w:rPr>
                  </w:pPr>
                  <w:r>
                    <w:rPr>
                      <w:sz w:val="18"/>
                      <w:szCs w:val="18"/>
                    </w:rPr>
                    <w:t>固态</w:t>
                  </w:r>
                </w:p>
              </w:tc>
              <w:tc>
                <w:tcPr>
                  <w:tcW w:w="1146" w:type="dxa"/>
                  <w:noWrap w:val="0"/>
                  <w:tcMar>
                    <w:top w:w="0" w:type="dxa"/>
                    <w:left w:w="108" w:type="dxa"/>
                    <w:bottom w:w="0" w:type="dxa"/>
                    <w:right w:w="108" w:type="dxa"/>
                  </w:tcMar>
                  <w:vAlign w:val="center"/>
                </w:tcPr>
                <w:p>
                  <w:pPr>
                    <w:jc w:val="center"/>
                    <w:rPr>
                      <w:rStyle w:val="49"/>
                      <w:rFonts w:hint="default" w:eastAsia="宋体"/>
                      <w:sz w:val="18"/>
                      <w:szCs w:val="18"/>
                      <w:lang w:val="en-US" w:eastAsia="zh-CN"/>
                    </w:rPr>
                  </w:pPr>
                  <w:r>
                    <w:rPr>
                      <w:rStyle w:val="49"/>
                      <w:rFonts w:hint="eastAsia"/>
                      <w:sz w:val="18"/>
                      <w:szCs w:val="18"/>
                      <w:lang w:val="en-US" w:eastAsia="zh-CN"/>
                    </w:rPr>
                    <w:t>51</w:t>
                  </w:r>
                </w:p>
              </w:tc>
              <w:tc>
                <w:tcPr>
                  <w:tcW w:w="727" w:type="dxa"/>
                  <w:noWrap w:val="0"/>
                  <w:tcMar>
                    <w:top w:w="0" w:type="dxa"/>
                    <w:left w:w="108" w:type="dxa"/>
                    <w:bottom w:w="0" w:type="dxa"/>
                    <w:right w:w="108" w:type="dxa"/>
                  </w:tcMar>
                  <w:vAlign w:val="center"/>
                </w:tcPr>
                <w:p>
                  <w:pPr>
                    <w:jc w:val="center"/>
                    <w:rPr>
                      <w:sz w:val="18"/>
                      <w:szCs w:val="18"/>
                    </w:rPr>
                  </w:pPr>
                  <w:r>
                    <w:rPr>
                      <w:sz w:val="18"/>
                      <w:szCs w:val="18"/>
                    </w:rPr>
                    <w:t>t/a</w:t>
                  </w:r>
                </w:p>
              </w:tc>
              <w:tc>
                <w:tcPr>
                  <w:tcW w:w="1456" w:type="dxa"/>
                  <w:noWrap w:val="0"/>
                  <w:tcMar>
                    <w:top w:w="0" w:type="dxa"/>
                    <w:left w:w="108" w:type="dxa"/>
                    <w:bottom w:w="0" w:type="dxa"/>
                    <w:right w:w="108" w:type="dxa"/>
                  </w:tcMar>
                  <w:vAlign w:val="center"/>
                </w:tcPr>
                <w:p>
                  <w:pPr>
                    <w:jc w:val="center"/>
                    <w:rPr>
                      <w:sz w:val="18"/>
                      <w:szCs w:val="18"/>
                    </w:rPr>
                  </w:pPr>
                  <w:r>
                    <w:rPr>
                      <w:rStyle w:val="49"/>
                      <w:sz w:val="18"/>
                      <w:szCs w:val="18"/>
                    </w:rPr>
                    <w:t>袋装，25kg/袋</w:t>
                  </w:r>
                </w:p>
              </w:tc>
              <w:tc>
                <w:tcPr>
                  <w:tcW w:w="1043" w:type="dxa"/>
                  <w:noWrap w:val="0"/>
                  <w:tcMar>
                    <w:top w:w="0" w:type="dxa"/>
                    <w:left w:w="108" w:type="dxa"/>
                    <w:bottom w:w="0" w:type="dxa"/>
                    <w:right w:w="108" w:type="dxa"/>
                  </w:tcMar>
                  <w:vAlign w:val="center"/>
                </w:tcPr>
                <w:p>
                  <w:pPr>
                    <w:jc w:val="center"/>
                    <w:rPr>
                      <w:sz w:val="18"/>
                      <w:szCs w:val="18"/>
                    </w:rPr>
                  </w:pPr>
                  <w:r>
                    <w:rPr>
                      <w:rStyle w:val="49"/>
                      <w:rFonts w:hint="eastAsia"/>
                      <w:sz w:val="18"/>
                      <w:szCs w:val="18"/>
                      <w:lang w:val="en-US" w:eastAsia="zh-CN"/>
                    </w:rPr>
                    <w:t>5</w:t>
                  </w:r>
                  <w:r>
                    <w:rPr>
                      <w:rStyle w:val="49"/>
                      <w:sz w:val="18"/>
                      <w:szCs w:val="18"/>
                    </w:rPr>
                    <w:t>t</w:t>
                  </w:r>
                </w:p>
              </w:tc>
              <w:tc>
                <w:tcPr>
                  <w:tcW w:w="734" w:type="dxa"/>
                  <w:noWrap w:val="0"/>
                  <w:tcMar>
                    <w:top w:w="0" w:type="dxa"/>
                    <w:left w:w="108" w:type="dxa"/>
                    <w:bottom w:w="0" w:type="dxa"/>
                    <w:right w:w="108" w:type="dxa"/>
                  </w:tcMar>
                  <w:vAlign w:val="center"/>
                </w:tcPr>
                <w:p>
                  <w:pPr>
                    <w:jc w:val="center"/>
                    <w:rPr>
                      <w:sz w:val="18"/>
                      <w:szCs w:val="18"/>
                    </w:rPr>
                  </w:pPr>
                  <w:r>
                    <w:rPr>
                      <w:sz w:val="18"/>
                      <w:szCs w:val="18"/>
                    </w:rPr>
                    <w:t>原料</w:t>
                  </w:r>
                </w:p>
              </w:tc>
              <w:tc>
                <w:tcPr>
                  <w:tcW w:w="1339" w:type="dxa"/>
                  <w:noWrap w:val="0"/>
                  <w:tcMar>
                    <w:top w:w="0" w:type="dxa"/>
                    <w:left w:w="108" w:type="dxa"/>
                    <w:bottom w:w="0" w:type="dxa"/>
                    <w:right w:w="108" w:type="dxa"/>
                  </w:tcMar>
                  <w:vAlign w:val="center"/>
                </w:tcPr>
                <w:p>
                  <w:pPr>
                    <w:pStyle w:val="32"/>
                    <w:jc w:val="center"/>
                    <w:rPr>
                      <w:sz w:val="18"/>
                      <w:szCs w:val="18"/>
                    </w:rPr>
                  </w:pPr>
                  <w:r>
                    <w:rPr>
                      <w:sz w:val="18"/>
                      <w:szCs w:val="18"/>
                    </w:rPr>
                    <w:t>外购汽运</w:t>
                  </w:r>
                </w:p>
              </w:tc>
            </w:tr>
          </w:tbl>
          <w:p>
            <w:pPr>
              <w:pStyle w:val="50"/>
              <w:spacing w:line="400" w:lineRule="exact"/>
              <w:ind w:firstLine="0" w:firstLineChars="0"/>
              <w:jc w:val="center"/>
              <w:rPr>
                <w:b/>
                <w:bCs/>
                <w:sz w:val="18"/>
                <w:szCs w:val="18"/>
              </w:rPr>
            </w:pPr>
            <w:r>
              <w:rPr>
                <w:b/>
                <w:bCs/>
                <w:sz w:val="18"/>
                <w:szCs w:val="18"/>
              </w:rPr>
              <w:t>表2-4  主要原辅材料理化性质表</w:t>
            </w:r>
          </w:p>
          <w:tbl>
            <w:tblPr>
              <w:tblStyle w:val="21"/>
              <w:tblW w:w="12227"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683"/>
              <w:gridCol w:w="5306"/>
              <w:gridCol w:w="1972"/>
              <w:gridCol w:w="143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27" w:type="dxa"/>
                  <w:noWrap w:val="0"/>
                  <w:vAlign w:val="center"/>
                </w:tcPr>
                <w:p>
                  <w:pPr>
                    <w:jc w:val="center"/>
                    <w:rPr>
                      <w:b/>
                      <w:bCs/>
                      <w:sz w:val="18"/>
                      <w:szCs w:val="18"/>
                    </w:rPr>
                  </w:pPr>
                  <w:r>
                    <w:rPr>
                      <w:b/>
                      <w:bCs/>
                      <w:sz w:val="18"/>
                      <w:szCs w:val="18"/>
                    </w:rPr>
                    <w:t>物料名称</w:t>
                  </w:r>
                </w:p>
              </w:tc>
              <w:tc>
                <w:tcPr>
                  <w:tcW w:w="1683" w:type="dxa"/>
                  <w:noWrap w:val="0"/>
                  <w:vAlign w:val="center"/>
                </w:tcPr>
                <w:p>
                  <w:pPr>
                    <w:jc w:val="center"/>
                    <w:rPr>
                      <w:b/>
                      <w:bCs/>
                      <w:sz w:val="18"/>
                      <w:szCs w:val="18"/>
                    </w:rPr>
                  </w:pPr>
                  <w:r>
                    <w:rPr>
                      <w:b/>
                      <w:bCs/>
                      <w:sz w:val="18"/>
                      <w:szCs w:val="18"/>
                    </w:rPr>
                    <w:t>CAS号</w:t>
                  </w:r>
                </w:p>
              </w:tc>
              <w:tc>
                <w:tcPr>
                  <w:tcW w:w="5306" w:type="dxa"/>
                  <w:noWrap w:val="0"/>
                  <w:vAlign w:val="center"/>
                </w:tcPr>
                <w:p>
                  <w:pPr>
                    <w:jc w:val="center"/>
                    <w:rPr>
                      <w:b/>
                      <w:bCs/>
                      <w:sz w:val="18"/>
                      <w:szCs w:val="18"/>
                    </w:rPr>
                  </w:pPr>
                  <w:r>
                    <w:rPr>
                      <w:b/>
                      <w:bCs/>
                      <w:sz w:val="18"/>
                      <w:szCs w:val="18"/>
                    </w:rPr>
                    <w:t>理化性质</w:t>
                  </w:r>
                </w:p>
              </w:tc>
              <w:tc>
                <w:tcPr>
                  <w:tcW w:w="1972" w:type="dxa"/>
                  <w:noWrap w:val="0"/>
                  <w:vAlign w:val="center"/>
                </w:tcPr>
                <w:p>
                  <w:pPr>
                    <w:jc w:val="center"/>
                    <w:rPr>
                      <w:b/>
                      <w:bCs/>
                      <w:sz w:val="18"/>
                      <w:szCs w:val="18"/>
                    </w:rPr>
                  </w:pPr>
                  <w:r>
                    <w:rPr>
                      <w:b/>
                      <w:bCs/>
                      <w:sz w:val="18"/>
                      <w:szCs w:val="18"/>
                    </w:rPr>
                    <w:t>毒理毒性</w:t>
                  </w:r>
                </w:p>
              </w:tc>
              <w:tc>
                <w:tcPr>
                  <w:tcW w:w="1439" w:type="dxa"/>
                  <w:noWrap w:val="0"/>
                  <w:vAlign w:val="center"/>
                </w:tcPr>
                <w:p>
                  <w:pPr>
                    <w:jc w:val="center"/>
                    <w:rPr>
                      <w:b/>
                      <w:bCs/>
                      <w:sz w:val="18"/>
                      <w:szCs w:val="18"/>
                    </w:rPr>
                  </w:pPr>
                  <w:r>
                    <w:rPr>
                      <w:b/>
                      <w:bCs/>
                      <w:sz w:val="18"/>
                      <w:szCs w:val="18"/>
                    </w:rPr>
                    <w:t>燃烧爆炸性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27" w:type="dxa"/>
                  <w:noWrap w:val="0"/>
                  <w:vAlign w:val="center"/>
                </w:tcPr>
                <w:p>
                  <w:pPr>
                    <w:pStyle w:val="32"/>
                    <w:jc w:val="center"/>
                    <w:rPr>
                      <w:sz w:val="18"/>
                      <w:szCs w:val="18"/>
                    </w:rPr>
                  </w:pPr>
                  <w:r>
                    <w:rPr>
                      <w:sz w:val="18"/>
                      <w:szCs w:val="18"/>
                    </w:rPr>
                    <w:t>PE</w:t>
                  </w:r>
                </w:p>
              </w:tc>
              <w:tc>
                <w:tcPr>
                  <w:tcW w:w="1683" w:type="dxa"/>
                  <w:noWrap w:val="0"/>
                  <w:vAlign w:val="center"/>
                </w:tcPr>
                <w:p>
                  <w:pPr>
                    <w:pStyle w:val="32"/>
                    <w:jc w:val="center"/>
                    <w:rPr>
                      <w:sz w:val="18"/>
                      <w:szCs w:val="18"/>
                    </w:rPr>
                  </w:pPr>
                  <w:r>
                    <w:rPr>
                      <w:sz w:val="18"/>
                      <w:szCs w:val="18"/>
                    </w:rPr>
                    <w:t>9003-07-0</w:t>
                  </w:r>
                </w:p>
              </w:tc>
              <w:tc>
                <w:tcPr>
                  <w:tcW w:w="5306" w:type="dxa"/>
                  <w:noWrap w:val="0"/>
                  <w:vAlign w:val="center"/>
                </w:tcPr>
                <w:p>
                  <w:pPr>
                    <w:pStyle w:val="32"/>
                    <w:jc w:val="left"/>
                    <w:rPr>
                      <w:sz w:val="18"/>
                      <w:szCs w:val="18"/>
                    </w:rPr>
                  </w:pPr>
                  <w:r>
                    <w:rPr>
                      <w:sz w:val="18"/>
                      <w:szCs w:val="18"/>
                    </w:rPr>
                    <w:t>(C2H4)n,有韧性的树脂质颗粒或粉末、白色有蜡味，具有优良的耐低温性能,熔点(C):130-145,密度0.91至0.97g/cm</w:t>
                  </w:r>
                  <w:r>
                    <w:rPr>
                      <w:sz w:val="18"/>
                      <w:szCs w:val="18"/>
                      <w:vertAlign w:val="superscript"/>
                    </w:rPr>
                    <w:t>3</w:t>
                  </w:r>
                  <w:r>
                    <w:rPr>
                      <w:sz w:val="18"/>
                      <w:szCs w:val="18"/>
                    </w:rPr>
                    <w:t>。用途十分广泛，主要用来制造薄膜、包装材料、容器、管道、单丝、电线电缆、日用品等。</w:t>
                  </w:r>
                </w:p>
              </w:tc>
              <w:tc>
                <w:tcPr>
                  <w:tcW w:w="1972" w:type="dxa"/>
                  <w:noWrap w:val="0"/>
                  <w:vAlign w:val="center"/>
                </w:tcPr>
                <w:p>
                  <w:pPr>
                    <w:pStyle w:val="32"/>
                    <w:jc w:val="center"/>
                    <w:rPr>
                      <w:sz w:val="18"/>
                      <w:szCs w:val="18"/>
                    </w:rPr>
                  </w:pPr>
                  <w:r>
                    <w:rPr>
                      <w:sz w:val="18"/>
                      <w:szCs w:val="18"/>
                    </w:rPr>
                    <w:t>低毒</w:t>
                  </w:r>
                </w:p>
              </w:tc>
              <w:tc>
                <w:tcPr>
                  <w:tcW w:w="1439" w:type="dxa"/>
                  <w:noWrap w:val="0"/>
                  <w:vAlign w:val="center"/>
                </w:tcPr>
                <w:p>
                  <w:pPr>
                    <w:pStyle w:val="32"/>
                    <w:jc w:val="center"/>
                    <w:rPr>
                      <w:sz w:val="18"/>
                      <w:szCs w:val="18"/>
                    </w:rPr>
                  </w:pPr>
                  <w:r>
                    <w:rPr>
                      <w:sz w:val="18"/>
                      <w:szCs w:val="18"/>
                    </w:rPr>
                    <w:t>可燃</w:t>
                  </w:r>
                </w:p>
              </w:tc>
            </w:tr>
          </w:tbl>
          <w:p>
            <w:pPr>
              <w:pStyle w:val="17"/>
              <w:jc w:val="center"/>
              <w:outlineLvl w:val="0"/>
              <w:rPr>
                <w:rFonts w:ascii="Times New Roman" w:hAnsi="Times New Roman"/>
                <w:snapToGrid w:val="0"/>
                <w:sz w:val="21"/>
                <w:szCs w:val="21"/>
              </w:rPr>
            </w:pPr>
          </w:p>
        </w:tc>
      </w:tr>
    </w:tbl>
    <w:p>
      <w:pPr>
        <w:pStyle w:val="17"/>
        <w:jc w:val="both"/>
        <w:rPr>
          <w:rFonts w:ascii="黑体" w:hAnsi="黑体" w:eastAsia="黑体"/>
          <w:snapToGrid w:val="0"/>
          <w:sz w:val="36"/>
          <w:szCs w:val="36"/>
        </w:rPr>
        <w:sectPr>
          <w:pgSz w:w="16838" w:h="11905" w:orient="landscape"/>
          <w:pgMar w:top="1531" w:right="1701" w:bottom="1531" w:left="1701" w:header="851" w:footer="850" w:gutter="0"/>
          <w:pgBorders>
            <w:top w:val="none" w:sz="0" w:space="0"/>
            <w:left w:val="none" w:sz="0" w:space="0"/>
            <w:bottom w:val="none" w:sz="0" w:space="0"/>
            <w:right w:val="none" w:sz="0" w:space="0"/>
          </w:pgBorders>
          <w:cols w:space="0" w:num="1"/>
          <w:rtlGutter w:val="0"/>
          <w:docGrid w:linePitch="312" w:charSpace="0"/>
        </w:sectPr>
      </w:pPr>
    </w:p>
    <w:tbl>
      <w:tblPr>
        <w:tblStyle w:val="21"/>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03" w:hRule="atLeast"/>
          <w:jc w:val="center"/>
        </w:trPr>
        <w:tc>
          <w:tcPr>
            <w:tcW w:w="823" w:type="dxa"/>
            <w:vAlign w:val="center"/>
          </w:tcPr>
          <w:p>
            <w:pPr>
              <w:pStyle w:val="17"/>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161" w:type="dxa"/>
          </w:tcPr>
          <w:p>
            <w:pPr>
              <w:numPr>
                <w:ilvl w:val="0"/>
                <w:numId w:val="3"/>
              </w:numPr>
              <w:spacing w:line="480" w:lineRule="exact"/>
              <w:ind w:firstLine="420" w:firstLineChars="200"/>
            </w:pPr>
            <w:r>
              <w:t>主要生产设备</w:t>
            </w:r>
          </w:p>
          <w:p>
            <w:pPr>
              <w:pStyle w:val="50"/>
              <w:spacing w:line="480" w:lineRule="exact"/>
              <w:ind w:firstLine="420"/>
              <w:jc w:val="left"/>
            </w:pPr>
            <w:r>
              <w:t>本项目营运期主要生产设备情况见下表2-5。</w:t>
            </w:r>
          </w:p>
          <w:p>
            <w:pPr>
              <w:pStyle w:val="50"/>
              <w:spacing w:line="400" w:lineRule="exact"/>
              <w:ind w:firstLine="0" w:firstLineChars="0"/>
              <w:jc w:val="center"/>
            </w:pPr>
            <w:r>
              <w:t>表2-5  本项目主要生产设备表</w:t>
            </w:r>
          </w:p>
          <w:tbl>
            <w:tblPr>
              <w:tblStyle w:val="21"/>
              <w:tblW w:w="7959"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2"/>
              <w:gridCol w:w="2603"/>
              <w:gridCol w:w="1502"/>
              <w:gridCol w:w="142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18" w:type="dxa"/>
                  <w:noWrap w:val="0"/>
                  <w:vAlign w:val="center"/>
                </w:tcPr>
                <w:p>
                  <w:pPr>
                    <w:pStyle w:val="32"/>
                    <w:jc w:val="center"/>
                  </w:pPr>
                  <w:r>
                    <w:t>序号</w:t>
                  </w:r>
                </w:p>
              </w:tc>
              <w:tc>
                <w:tcPr>
                  <w:tcW w:w="1212" w:type="dxa"/>
                  <w:noWrap w:val="0"/>
                  <w:vAlign w:val="center"/>
                </w:tcPr>
                <w:p>
                  <w:pPr>
                    <w:pStyle w:val="32"/>
                    <w:jc w:val="center"/>
                  </w:pPr>
                  <w:r>
                    <w:t>生产线</w:t>
                  </w:r>
                </w:p>
              </w:tc>
              <w:tc>
                <w:tcPr>
                  <w:tcW w:w="2603" w:type="dxa"/>
                  <w:noWrap w:val="0"/>
                  <w:vAlign w:val="center"/>
                </w:tcPr>
                <w:p>
                  <w:pPr>
                    <w:pStyle w:val="32"/>
                    <w:jc w:val="center"/>
                  </w:pPr>
                  <w:r>
                    <w:t>设备名称</w:t>
                  </w:r>
                </w:p>
              </w:tc>
              <w:tc>
                <w:tcPr>
                  <w:tcW w:w="1502" w:type="dxa"/>
                  <w:noWrap w:val="0"/>
                  <w:vAlign w:val="center"/>
                </w:tcPr>
                <w:p>
                  <w:pPr>
                    <w:pStyle w:val="32"/>
                    <w:jc w:val="center"/>
                  </w:pPr>
                  <w:r>
                    <w:t>型号/规格</w:t>
                  </w:r>
                </w:p>
              </w:tc>
              <w:tc>
                <w:tcPr>
                  <w:tcW w:w="1424" w:type="dxa"/>
                  <w:noWrap w:val="0"/>
                  <w:vAlign w:val="center"/>
                </w:tcPr>
                <w:p>
                  <w:pPr>
                    <w:pStyle w:val="32"/>
                    <w:jc w:val="center"/>
                  </w:pPr>
                  <w:r>
                    <w:t>数量（台/套）</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18" w:type="dxa"/>
                  <w:noWrap w:val="0"/>
                  <w:vAlign w:val="center"/>
                </w:tcPr>
                <w:p>
                  <w:pPr>
                    <w:pStyle w:val="32"/>
                    <w:jc w:val="center"/>
                  </w:pPr>
                  <w:r>
                    <w:t>1</w:t>
                  </w:r>
                </w:p>
              </w:tc>
              <w:tc>
                <w:tcPr>
                  <w:tcW w:w="1212" w:type="dxa"/>
                  <w:vMerge w:val="restart"/>
                  <w:noWrap w:val="0"/>
                  <w:vAlign w:val="center"/>
                </w:tcPr>
                <w:p>
                  <w:pPr>
                    <w:pStyle w:val="32"/>
                    <w:jc w:val="center"/>
                    <w:rPr>
                      <w:rFonts w:hint="default"/>
                      <w:lang w:val="en-US" w:eastAsia="zh-CN"/>
                    </w:rPr>
                  </w:pPr>
                  <w:r>
                    <w:rPr>
                      <w:rFonts w:hint="eastAsia"/>
                      <w:lang w:val="en-US" w:eastAsia="zh-CN"/>
                    </w:rPr>
                    <w:t>吹塑线</w:t>
                  </w:r>
                </w:p>
              </w:tc>
              <w:tc>
                <w:tcPr>
                  <w:tcW w:w="2603" w:type="dxa"/>
                  <w:noWrap w:val="0"/>
                  <w:vAlign w:val="center"/>
                </w:tcPr>
                <w:p>
                  <w:pPr>
                    <w:pStyle w:val="32"/>
                    <w:jc w:val="center"/>
                  </w:pPr>
                  <w:r>
                    <w:rPr>
                      <w:rFonts w:hint="eastAsia"/>
                    </w:rPr>
                    <w:t>高低压吹膜机</w:t>
                  </w:r>
                </w:p>
              </w:tc>
              <w:tc>
                <w:tcPr>
                  <w:tcW w:w="1502" w:type="dxa"/>
                  <w:noWrap w:val="0"/>
                  <w:vAlign w:val="center"/>
                </w:tcPr>
                <w:p>
                  <w:pPr>
                    <w:pStyle w:val="32"/>
                    <w:jc w:val="center"/>
                  </w:pPr>
                  <w:r>
                    <w:rPr>
                      <w:rFonts w:hint="eastAsia"/>
                    </w:rPr>
                    <w:t>SJ-65型</w:t>
                  </w:r>
                </w:p>
              </w:tc>
              <w:tc>
                <w:tcPr>
                  <w:tcW w:w="1424" w:type="dxa"/>
                  <w:noWrap w:val="0"/>
                  <w:vAlign w:val="center"/>
                </w:tcPr>
                <w:p>
                  <w:pPr>
                    <w:pStyle w:val="32"/>
                    <w:jc w:val="center"/>
                    <w:rPr>
                      <w:rFonts w:hint="eastAsia"/>
                      <w:lang w:val="en-US" w:eastAsia="zh-CN"/>
                    </w:rPr>
                  </w:pPr>
                  <w:r>
                    <w:rPr>
                      <w:rFonts w:hint="eastAsia"/>
                      <w:lang w:val="en-US" w:eastAsia="zh-CN"/>
                    </w:rPr>
                    <w:t>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18" w:type="dxa"/>
                  <w:noWrap w:val="0"/>
                  <w:vAlign w:val="center"/>
                </w:tcPr>
                <w:p>
                  <w:pPr>
                    <w:pStyle w:val="32"/>
                    <w:jc w:val="center"/>
                  </w:pPr>
                  <w:r>
                    <w:t>2</w:t>
                  </w:r>
                </w:p>
              </w:tc>
              <w:tc>
                <w:tcPr>
                  <w:tcW w:w="1212" w:type="dxa"/>
                  <w:vMerge w:val="continue"/>
                  <w:noWrap w:val="0"/>
                  <w:vAlign w:val="center"/>
                </w:tcPr>
                <w:p>
                  <w:pPr>
                    <w:pStyle w:val="32"/>
                    <w:jc w:val="center"/>
                  </w:pPr>
                </w:p>
              </w:tc>
              <w:tc>
                <w:tcPr>
                  <w:tcW w:w="2603" w:type="dxa"/>
                  <w:noWrap w:val="0"/>
                  <w:vAlign w:val="center"/>
                </w:tcPr>
                <w:p>
                  <w:pPr>
                    <w:pStyle w:val="32"/>
                    <w:jc w:val="center"/>
                  </w:pPr>
                  <w:r>
                    <w:rPr>
                      <w:rFonts w:hint="eastAsia"/>
                    </w:rPr>
                    <w:t>制袋机</w:t>
                  </w:r>
                </w:p>
              </w:tc>
              <w:tc>
                <w:tcPr>
                  <w:tcW w:w="1502" w:type="dxa"/>
                  <w:noWrap w:val="0"/>
                  <w:vAlign w:val="center"/>
                </w:tcPr>
                <w:p>
                  <w:pPr>
                    <w:pStyle w:val="32"/>
                    <w:jc w:val="center"/>
                    <w:rPr>
                      <w:rFonts w:hint="eastAsia"/>
                      <w:lang w:val="en-US" w:eastAsia="zh-CN"/>
                    </w:rPr>
                  </w:pPr>
                  <w:r>
                    <w:rPr>
                      <w:rFonts w:hint="eastAsia"/>
                      <w:lang w:val="en-US" w:eastAsia="zh-CN"/>
                    </w:rPr>
                    <w:t>/</w:t>
                  </w:r>
                </w:p>
              </w:tc>
              <w:tc>
                <w:tcPr>
                  <w:tcW w:w="1424" w:type="dxa"/>
                  <w:noWrap w:val="0"/>
                  <w:vAlign w:val="center"/>
                </w:tcPr>
                <w:p>
                  <w:pPr>
                    <w:pStyle w:val="32"/>
                    <w:jc w:val="center"/>
                    <w:rPr>
                      <w:rFonts w:hint="eastAsia"/>
                      <w:lang w:val="en-US" w:eastAsia="zh-CN"/>
                    </w:rPr>
                  </w:pPr>
                  <w:r>
                    <w:rPr>
                      <w:rFonts w:hint="eastAsia"/>
                      <w:lang w:val="en-US" w:eastAsia="zh-CN"/>
                    </w:rPr>
                    <w:t>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18" w:type="dxa"/>
                  <w:noWrap w:val="0"/>
                  <w:vAlign w:val="center"/>
                </w:tcPr>
                <w:p>
                  <w:pPr>
                    <w:pStyle w:val="32"/>
                    <w:jc w:val="center"/>
                  </w:pPr>
                  <w:r>
                    <w:t>3</w:t>
                  </w:r>
                </w:p>
              </w:tc>
              <w:tc>
                <w:tcPr>
                  <w:tcW w:w="1212" w:type="dxa"/>
                  <w:vMerge w:val="continue"/>
                  <w:noWrap w:val="0"/>
                  <w:vAlign w:val="center"/>
                </w:tcPr>
                <w:p>
                  <w:pPr>
                    <w:pStyle w:val="32"/>
                    <w:jc w:val="center"/>
                  </w:pPr>
                </w:p>
              </w:tc>
              <w:tc>
                <w:tcPr>
                  <w:tcW w:w="2603" w:type="dxa"/>
                  <w:noWrap w:val="0"/>
                  <w:vAlign w:val="center"/>
                </w:tcPr>
                <w:p>
                  <w:pPr>
                    <w:pStyle w:val="32"/>
                    <w:jc w:val="center"/>
                  </w:pPr>
                  <w:r>
                    <w:rPr>
                      <w:rFonts w:hint="eastAsia"/>
                      <w:lang w:val="en-US" w:eastAsia="zh-CN"/>
                    </w:rPr>
                    <w:t>人工</w:t>
                  </w:r>
                  <w:r>
                    <w:rPr>
                      <w:rFonts w:hint="eastAsia"/>
                    </w:rPr>
                    <w:t>烫袋机</w:t>
                  </w:r>
                </w:p>
              </w:tc>
              <w:tc>
                <w:tcPr>
                  <w:tcW w:w="1502" w:type="dxa"/>
                  <w:noWrap w:val="0"/>
                  <w:vAlign w:val="center"/>
                </w:tcPr>
                <w:p>
                  <w:pPr>
                    <w:pStyle w:val="32"/>
                    <w:jc w:val="center"/>
                  </w:pPr>
                  <w:r>
                    <w:rPr>
                      <w:rFonts w:hint="eastAsia"/>
                      <w:lang w:val="en-US" w:eastAsia="zh-CN"/>
                    </w:rPr>
                    <w:t>/</w:t>
                  </w:r>
                </w:p>
              </w:tc>
              <w:tc>
                <w:tcPr>
                  <w:tcW w:w="1424" w:type="dxa"/>
                  <w:noWrap w:val="0"/>
                  <w:vAlign w:val="center"/>
                </w:tcPr>
                <w:p>
                  <w:pPr>
                    <w:pStyle w:val="32"/>
                    <w:jc w:val="center"/>
                    <w:rPr>
                      <w:rFonts w:hint="eastAsia"/>
                      <w:lang w:val="en-US" w:eastAsia="zh-CN"/>
                    </w:rPr>
                  </w:pPr>
                  <w:r>
                    <w:rPr>
                      <w:rFonts w:hint="eastAsia"/>
                      <w:lang w:val="en-US" w:eastAsia="zh-CN"/>
                    </w:rPr>
                    <w:t>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18" w:type="dxa"/>
                  <w:noWrap w:val="0"/>
                  <w:vAlign w:val="center"/>
                </w:tcPr>
                <w:p>
                  <w:pPr>
                    <w:pStyle w:val="32"/>
                    <w:jc w:val="center"/>
                  </w:pPr>
                  <w:r>
                    <w:t>4</w:t>
                  </w:r>
                </w:p>
              </w:tc>
              <w:tc>
                <w:tcPr>
                  <w:tcW w:w="1212" w:type="dxa"/>
                  <w:vMerge w:val="continue"/>
                  <w:noWrap w:val="0"/>
                  <w:vAlign w:val="center"/>
                </w:tcPr>
                <w:p>
                  <w:pPr>
                    <w:pStyle w:val="32"/>
                    <w:jc w:val="center"/>
                  </w:pPr>
                </w:p>
              </w:tc>
              <w:tc>
                <w:tcPr>
                  <w:tcW w:w="2603" w:type="dxa"/>
                  <w:noWrap w:val="0"/>
                  <w:vAlign w:val="center"/>
                </w:tcPr>
                <w:p>
                  <w:pPr>
                    <w:pStyle w:val="32"/>
                    <w:jc w:val="center"/>
                  </w:pPr>
                  <w:r>
                    <w:rPr>
                      <w:rFonts w:hint="eastAsia"/>
                    </w:rPr>
                    <w:t>混料机</w:t>
                  </w:r>
                </w:p>
              </w:tc>
              <w:tc>
                <w:tcPr>
                  <w:tcW w:w="1502" w:type="dxa"/>
                  <w:noWrap w:val="0"/>
                  <w:vAlign w:val="center"/>
                </w:tcPr>
                <w:p>
                  <w:pPr>
                    <w:pStyle w:val="32"/>
                    <w:jc w:val="center"/>
                  </w:pPr>
                  <w:r>
                    <w:rPr>
                      <w:rFonts w:hint="eastAsia"/>
                      <w:lang w:val="en-US" w:eastAsia="zh-CN"/>
                    </w:rPr>
                    <w:t>/</w:t>
                  </w:r>
                </w:p>
              </w:tc>
              <w:tc>
                <w:tcPr>
                  <w:tcW w:w="1424" w:type="dxa"/>
                  <w:noWrap w:val="0"/>
                  <w:vAlign w:val="center"/>
                </w:tcPr>
                <w:p>
                  <w:pPr>
                    <w:pStyle w:val="32"/>
                    <w:jc w:val="center"/>
                    <w:rPr>
                      <w:rFonts w:hint="eastAsia"/>
                      <w:lang w:val="en-US" w:eastAsia="zh-CN"/>
                    </w:rPr>
                  </w:pPr>
                  <w:r>
                    <w:rPr>
                      <w:rFonts w:hint="eastAsia"/>
                      <w:lang w:val="en-US" w:eastAsia="zh-CN"/>
                    </w:rPr>
                    <w:t>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18" w:type="dxa"/>
                  <w:noWrap w:val="0"/>
                  <w:vAlign w:val="center"/>
                </w:tcPr>
                <w:p>
                  <w:pPr>
                    <w:pStyle w:val="32"/>
                    <w:jc w:val="center"/>
                  </w:pPr>
                  <w:r>
                    <w:t>5</w:t>
                  </w:r>
                </w:p>
              </w:tc>
              <w:tc>
                <w:tcPr>
                  <w:tcW w:w="1212" w:type="dxa"/>
                  <w:vMerge w:val="continue"/>
                  <w:noWrap w:val="0"/>
                  <w:vAlign w:val="center"/>
                </w:tcPr>
                <w:p>
                  <w:pPr>
                    <w:pStyle w:val="32"/>
                    <w:jc w:val="center"/>
                  </w:pPr>
                </w:p>
              </w:tc>
              <w:tc>
                <w:tcPr>
                  <w:tcW w:w="2603" w:type="dxa"/>
                  <w:noWrap w:val="0"/>
                  <w:vAlign w:val="center"/>
                </w:tcPr>
                <w:p>
                  <w:pPr>
                    <w:pStyle w:val="32"/>
                    <w:jc w:val="center"/>
                  </w:pPr>
                  <w:r>
                    <w:rPr>
                      <w:rFonts w:hint="eastAsia"/>
                    </w:rPr>
                    <w:t>装袋机</w:t>
                  </w:r>
                </w:p>
              </w:tc>
              <w:tc>
                <w:tcPr>
                  <w:tcW w:w="1502" w:type="dxa"/>
                  <w:noWrap w:val="0"/>
                  <w:vAlign w:val="center"/>
                </w:tcPr>
                <w:p>
                  <w:pPr>
                    <w:pStyle w:val="32"/>
                    <w:jc w:val="center"/>
                  </w:pPr>
                  <w:r>
                    <w:rPr>
                      <w:rFonts w:hint="eastAsia"/>
                      <w:lang w:val="en-US" w:eastAsia="zh-CN"/>
                    </w:rPr>
                    <w:t>/</w:t>
                  </w:r>
                </w:p>
              </w:tc>
              <w:tc>
                <w:tcPr>
                  <w:tcW w:w="1424" w:type="dxa"/>
                  <w:noWrap w:val="0"/>
                  <w:vAlign w:val="center"/>
                </w:tcPr>
                <w:p>
                  <w:pPr>
                    <w:pStyle w:val="32"/>
                    <w:jc w:val="center"/>
                  </w:pPr>
                  <w:r>
                    <w:rPr>
                      <w:rFonts w:hint="eastAsia"/>
                      <w:lang w:val="en-US" w:eastAsia="zh-CN"/>
                    </w:rPr>
                    <w:t>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18" w:type="dxa"/>
                  <w:noWrap w:val="0"/>
                  <w:vAlign w:val="center"/>
                </w:tcPr>
                <w:p>
                  <w:pPr>
                    <w:pStyle w:val="32"/>
                    <w:jc w:val="center"/>
                    <w:rPr>
                      <w:rFonts w:hint="eastAsia"/>
                      <w:lang w:eastAsia="zh-CN"/>
                    </w:rPr>
                  </w:pPr>
                  <w:r>
                    <w:rPr>
                      <w:rFonts w:hint="eastAsia"/>
                      <w:lang w:val="en-US" w:eastAsia="zh-CN"/>
                    </w:rPr>
                    <w:t>6</w:t>
                  </w:r>
                </w:p>
              </w:tc>
              <w:tc>
                <w:tcPr>
                  <w:tcW w:w="1212" w:type="dxa"/>
                  <w:noWrap w:val="0"/>
                  <w:vAlign w:val="center"/>
                </w:tcPr>
                <w:p>
                  <w:pPr>
                    <w:pStyle w:val="32"/>
                    <w:jc w:val="center"/>
                  </w:pPr>
                  <w:r>
                    <w:t>环保设备</w:t>
                  </w:r>
                </w:p>
              </w:tc>
              <w:tc>
                <w:tcPr>
                  <w:tcW w:w="2603" w:type="dxa"/>
                  <w:noWrap w:val="0"/>
                  <w:vAlign w:val="center"/>
                </w:tcPr>
                <w:p>
                  <w:pPr>
                    <w:pStyle w:val="32"/>
                    <w:jc w:val="center"/>
                  </w:pPr>
                  <w:r>
                    <w:t>二级活性炭装置</w:t>
                  </w:r>
                </w:p>
              </w:tc>
              <w:tc>
                <w:tcPr>
                  <w:tcW w:w="1502" w:type="dxa"/>
                  <w:noWrap w:val="0"/>
                  <w:vAlign w:val="center"/>
                </w:tcPr>
                <w:p>
                  <w:pPr>
                    <w:pStyle w:val="32"/>
                    <w:jc w:val="center"/>
                  </w:pPr>
                  <w:r>
                    <w:t>/</w:t>
                  </w:r>
                </w:p>
              </w:tc>
              <w:tc>
                <w:tcPr>
                  <w:tcW w:w="1424" w:type="dxa"/>
                  <w:noWrap w:val="0"/>
                  <w:vAlign w:val="center"/>
                </w:tcPr>
                <w:p>
                  <w:pPr>
                    <w:pStyle w:val="32"/>
                    <w:jc w:val="center"/>
                    <w:rPr>
                      <w:rFonts w:hint="eastAsia"/>
                      <w:lang w:eastAsia="zh-CN"/>
                    </w:rPr>
                  </w:pPr>
                  <w:r>
                    <w:rPr>
                      <w:rFonts w:hint="eastAsia"/>
                      <w:lang w:val="en-US" w:eastAsia="zh-CN"/>
                    </w:rPr>
                    <w:t>1</w:t>
                  </w:r>
                </w:p>
              </w:tc>
            </w:tr>
          </w:tbl>
          <w:p>
            <w:pPr>
              <w:widowControl/>
              <w:spacing w:line="480" w:lineRule="exact"/>
              <w:ind w:firstLine="420" w:firstLineChars="200"/>
              <w:jc w:val="left"/>
            </w:pPr>
            <w:r>
              <w:t>5、项目定员及工作制度</w:t>
            </w:r>
          </w:p>
          <w:p>
            <w:pPr>
              <w:widowControl/>
              <w:spacing w:line="480" w:lineRule="exact"/>
              <w:ind w:firstLine="420" w:firstLineChars="200"/>
              <w:jc w:val="left"/>
            </w:pPr>
            <w:r>
              <w:t>本项目劳动定员</w:t>
            </w:r>
            <w:r>
              <w:rPr>
                <w:rFonts w:hint="eastAsia"/>
                <w:lang w:val="en-US" w:eastAsia="zh-CN"/>
              </w:rPr>
              <w:t>8</w:t>
            </w:r>
            <w:r>
              <w:t>人，年工作300天，单班制（昼间8h/班）生产，年工作时间2400h。</w:t>
            </w:r>
          </w:p>
          <w:p>
            <w:pPr>
              <w:widowControl/>
              <w:spacing w:line="480" w:lineRule="exact"/>
              <w:ind w:firstLine="420" w:firstLineChars="200"/>
              <w:jc w:val="left"/>
            </w:pPr>
            <w:r>
              <w:t>6、水平衡分析</w:t>
            </w:r>
          </w:p>
          <w:p>
            <w:pPr>
              <w:pStyle w:val="8"/>
              <w:spacing w:before="0" w:after="0" w:line="480" w:lineRule="exact"/>
              <w:ind w:right="0" w:firstLine="360" w:firstLineChars="200"/>
            </w:pPr>
            <w:r>
              <w:t>（1）生活用水</w:t>
            </w:r>
          </w:p>
          <w:p>
            <w:pPr>
              <w:spacing w:line="480" w:lineRule="exact"/>
              <w:ind w:firstLine="420" w:firstLineChars="200"/>
            </w:pPr>
            <w:r>
              <w:t>本项目需员工</w:t>
            </w:r>
            <w:r>
              <w:rPr>
                <w:rFonts w:hint="eastAsia"/>
                <w:lang w:val="en-US" w:eastAsia="zh-CN"/>
              </w:rPr>
              <w:t>8</w:t>
            </w:r>
            <w:r>
              <w:t>人</w:t>
            </w:r>
            <w:r>
              <w:rPr>
                <w:rFonts w:hint="eastAsia"/>
              </w:rPr>
              <w:t>，参照《常州市工业和城市生活用水定额》，厂区职工生活用水量以100L/d·人</w:t>
            </w:r>
            <w:r>
              <w:rPr>
                <w:rFonts w:hint="eastAsia"/>
                <w:lang w:val="en-US" w:eastAsia="zh-CN"/>
              </w:rPr>
              <w:t>计</w:t>
            </w:r>
            <w:r>
              <w:t>，年工作300天，据此预计本项目生活用水量为</w:t>
            </w:r>
            <w:r>
              <w:rPr>
                <w:rFonts w:hint="eastAsia"/>
                <w:lang w:val="en-US" w:eastAsia="zh-CN"/>
              </w:rPr>
              <w:t>8</w:t>
            </w:r>
            <w:r>
              <w:t>×100×300/1000=</w:t>
            </w:r>
            <w:r>
              <w:rPr>
                <w:rFonts w:hint="eastAsia"/>
                <w:lang w:val="en-US" w:eastAsia="zh-CN"/>
              </w:rPr>
              <w:t>240</w:t>
            </w:r>
            <w:r>
              <w:t>t/a，产污系数按0.8计，则生活污水产生量为</w:t>
            </w:r>
            <w:r>
              <w:rPr>
                <w:rFonts w:hint="eastAsia"/>
                <w:lang w:val="en-US" w:eastAsia="zh-CN"/>
              </w:rPr>
              <w:t>240</w:t>
            </w:r>
            <w:r>
              <w:t>×0.8=</w:t>
            </w:r>
            <w:r>
              <w:rPr>
                <w:rFonts w:hint="eastAsia"/>
                <w:lang w:val="en-US" w:eastAsia="zh-CN"/>
              </w:rPr>
              <w:t>192</w:t>
            </w:r>
            <w:r>
              <w:t>t/a。</w:t>
            </w:r>
          </w:p>
          <w:p>
            <w:pPr>
              <w:spacing w:line="480" w:lineRule="exact"/>
              <w:ind w:firstLine="420" w:firstLineChars="200"/>
            </w:pPr>
            <w:r>
              <w:t>综上，项目总用水量为</w:t>
            </w:r>
            <w:r>
              <w:rPr>
                <w:rFonts w:hint="eastAsia"/>
                <w:lang w:val="en-US" w:eastAsia="zh-CN"/>
              </w:rPr>
              <w:t>240</w:t>
            </w:r>
            <w:r>
              <w:t>t/a，总废水排放量为</w:t>
            </w:r>
            <w:r>
              <w:rPr>
                <w:rFonts w:hint="eastAsia"/>
                <w:lang w:val="en-US" w:eastAsia="zh-CN"/>
              </w:rPr>
              <w:t>192</w:t>
            </w:r>
            <w:r>
              <w:t>t/a，项目水平衡图如下：</w:t>
            </w:r>
          </w:p>
          <w:p>
            <w:pPr>
              <w:spacing w:line="0" w:lineRule="atLeast"/>
              <w:jc w:val="center"/>
            </w:pPr>
          </w:p>
          <w:p>
            <w:pPr>
              <w:spacing w:line="0" w:lineRule="atLeast"/>
              <w:jc w:val="center"/>
            </w:pPr>
            <w:r>
              <w:object>
                <v:shape id="_x0000_i1025" o:spt="75" type="#_x0000_t75" style="height:218.8pt;width:396pt;" o:ole="t" filled="f" o:preferrelative="t" stroked="f" coordsize="21600,21600">
                  <v:path/>
                  <v:fill on="f" focussize="0,0"/>
                  <v:stroke on="f"/>
                  <v:imagedata r:id="rId9" o:title=""/>
                  <o:lock v:ext="edit" aspectratio="t"/>
                  <w10:wrap type="none"/>
                  <w10:anchorlock/>
                </v:shape>
                <o:OLEObject Type="Embed" ProgID="Visio.Drawing.15" ShapeID="_x0000_i1025" DrawAspect="Content" ObjectID="_1468075725" r:id="rId8">
                  <o:LockedField>false</o:LockedField>
                </o:OLEObject>
              </w:object>
            </w:r>
            <w:r>
              <w:t>图2-1  本项目水平衡图</w:t>
            </w:r>
          </w:p>
          <w:p>
            <w:pPr>
              <w:widowControl/>
              <w:spacing w:line="480" w:lineRule="exact"/>
              <w:ind w:firstLine="420" w:firstLineChars="200"/>
              <w:jc w:val="left"/>
            </w:pPr>
          </w:p>
          <w:p>
            <w:pPr>
              <w:widowControl/>
              <w:spacing w:line="480" w:lineRule="exact"/>
              <w:ind w:firstLine="420" w:firstLineChars="200"/>
              <w:jc w:val="left"/>
            </w:pPr>
            <w:r>
              <w:t>7、环保投资</w:t>
            </w:r>
          </w:p>
          <w:p>
            <w:pPr>
              <w:widowControl/>
              <w:spacing w:line="480" w:lineRule="exact"/>
              <w:ind w:firstLine="420" w:firstLineChars="200"/>
              <w:jc w:val="left"/>
            </w:pPr>
            <w:r>
              <w:t>本项目环保投资</w:t>
            </w:r>
            <w:r>
              <w:rPr>
                <w:rFonts w:hint="eastAsia"/>
                <w:lang w:val="en-US" w:eastAsia="zh-CN"/>
              </w:rPr>
              <w:t>30</w:t>
            </w:r>
            <w:r>
              <w:t>万元，占总投资的</w:t>
            </w:r>
            <w:r>
              <w:rPr>
                <w:rFonts w:hint="eastAsia"/>
                <w:lang w:val="en-US" w:eastAsia="zh-CN"/>
              </w:rPr>
              <w:t>15</w:t>
            </w:r>
            <w:r>
              <w:t xml:space="preserve">％，具体环保投资估算情况见表2-6。 </w:t>
            </w:r>
          </w:p>
          <w:p>
            <w:pPr>
              <w:spacing w:line="480" w:lineRule="exact"/>
              <w:jc w:val="center"/>
            </w:pPr>
            <w:r>
              <w:t>表2-6  环保投资估算一览表</w:t>
            </w:r>
          </w:p>
          <w:tbl>
            <w:tblPr>
              <w:tblStyle w:val="21"/>
              <w:tblW w:w="7959" w:type="dxa"/>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01"/>
              <w:gridCol w:w="2162"/>
              <w:gridCol w:w="1455"/>
              <w:gridCol w:w="946"/>
              <w:gridCol w:w="1478"/>
              <w:gridCol w:w="1217"/>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01" w:type="dxa"/>
                  <w:noWrap w:val="0"/>
                  <w:tcMar>
                    <w:top w:w="0" w:type="dxa"/>
                    <w:left w:w="57" w:type="dxa"/>
                    <w:bottom w:w="0" w:type="dxa"/>
                    <w:right w:w="57" w:type="dxa"/>
                  </w:tcMar>
                  <w:vAlign w:val="center"/>
                </w:tcPr>
                <w:p>
                  <w:pPr>
                    <w:pStyle w:val="32"/>
                    <w:jc w:val="center"/>
                  </w:pPr>
                  <w:r>
                    <w:t>污染源</w:t>
                  </w:r>
                </w:p>
              </w:tc>
              <w:tc>
                <w:tcPr>
                  <w:tcW w:w="2162" w:type="dxa"/>
                  <w:noWrap w:val="0"/>
                  <w:tcMar>
                    <w:top w:w="0" w:type="dxa"/>
                    <w:left w:w="57" w:type="dxa"/>
                    <w:bottom w:w="0" w:type="dxa"/>
                    <w:right w:w="57" w:type="dxa"/>
                  </w:tcMar>
                  <w:vAlign w:val="center"/>
                </w:tcPr>
                <w:p>
                  <w:pPr>
                    <w:pStyle w:val="32"/>
                    <w:jc w:val="center"/>
                  </w:pPr>
                  <w:r>
                    <w:t>环保设施名称</w:t>
                  </w:r>
                </w:p>
              </w:tc>
              <w:tc>
                <w:tcPr>
                  <w:tcW w:w="1455" w:type="dxa"/>
                  <w:noWrap w:val="0"/>
                  <w:tcMar>
                    <w:top w:w="0" w:type="dxa"/>
                    <w:left w:w="57" w:type="dxa"/>
                    <w:bottom w:w="0" w:type="dxa"/>
                    <w:right w:w="57" w:type="dxa"/>
                  </w:tcMar>
                  <w:vAlign w:val="center"/>
                </w:tcPr>
                <w:p>
                  <w:pPr>
                    <w:pStyle w:val="32"/>
                    <w:jc w:val="center"/>
                  </w:pPr>
                  <w:r>
                    <w:t>环保投资（万元）</w:t>
                  </w:r>
                </w:p>
              </w:tc>
              <w:tc>
                <w:tcPr>
                  <w:tcW w:w="946" w:type="dxa"/>
                  <w:noWrap w:val="0"/>
                  <w:tcMar>
                    <w:top w:w="0" w:type="dxa"/>
                    <w:left w:w="57" w:type="dxa"/>
                    <w:bottom w:w="0" w:type="dxa"/>
                    <w:right w:w="57" w:type="dxa"/>
                  </w:tcMar>
                  <w:vAlign w:val="center"/>
                </w:tcPr>
                <w:p>
                  <w:pPr>
                    <w:pStyle w:val="32"/>
                    <w:jc w:val="center"/>
                  </w:pPr>
                  <w:r>
                    <w:t>数量</w:t>
                  </w:r>
                </w:p>
              </w:tc>
              <w:tc>
                <w:tcPr>
                  <w:tcW w:w="1478" w:type="dxa"/>
                  <w:noWrap w:val="0"/>
                  <w:tcMar>
                    <w:top w:w="0" w:type="dxa"/>
                    <w:left w:w="57" w:type="dxa"/>
                    <w:bottom w:w="0" w:type="dxa"/>
                    <w:right w:w="57" w:type="dxa"/>
                  </w:tcMar>
                  <w:vAlign w:val="center"/>
                </w:tcPr>
                <w:p>
                  <w:pPr>
                    <w:pStyle w:val="32"/>
                    <w:jc w:val="center"/>
                  </w:pPr>
                  <w:r>
                    <w:t>处理能力</w:t>
                  </w:r>
                </w:p>
              </w:tc>
              <w:tc>
                <w:tcPr>
                  <w:tcW w:w="1217" w:type="dxa"/>
                  <w:noWrap w:val="0"/>
                  <w:tcMar>
                    <w:top w:w="0" w:type="dxa"/>
                    <w:left w:w="57" w:type="dxa"/>
                    <w:bottom w:w="0" w:type="dxa"/>
                    <w:right w:w="57" w:type="dxa"/>
                  </w:tcMar>
                  <w:vAlign w:val="center"/>
                </w:tcPr>
                <w:p>
                  <w:pPr>
                    <w:pStyle w:val="32"/>
                    <w:jc w:val="center"/>
                  </w:pPr>
                  <w:r>
                    <w:t>处理效果</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01" w:type="dxa"/>
                  <w:noWrap w:val="0"/>
                  <w:tcMar>
                    <w:top w:w="0" w:type="dxa"/>
                    <w:left w:w="57" w:type="dxa"/>
                    <w:bottom w:w="0" w:type="dxa"/>
                    <w:right w:w="57" w:type="dxa"/>
                  </w:tcMar>
                  <w:vAlign w:val="center"/>
                </w:tcPr>
                <w:p>
                  <w:pPr>
                    <w:pStyle w:val="32"/>
                    <w:jc w:val="center"/>
                  </w:pPr>
                  <w:r>
                    <w:t>废气</w:t>
                  </w:r>
                </w:p>
              </w:tc>
              <w:tc>
                <w:tcPr>
                  <w:tcW w:w="2162" w:type="dxa"/>
                  <w:noWrap w:val="0"/>
                  <w:tcMar>
                    <w:top w:w="0" w:type="dxa"/>
                    <w:left w:w="57" w:type="dxa"/>
                    <w:bottom w:w="0" w:type="dxa"/>
                    <w:right w:w="57" w:type="dxa"/>
                  </w:tcMar>
                  <w:vAlign w:val="center"/>
                </w:tcPr>
                <w:p>
                  <w:pPr>
                    <w:pStyle w:val="32"/>
                    <w:jc w:val="center"/>
                  </w:pPr>
                  <w:r>
                    <w:t>集气罩+</w:t>
                  </w:r>
                  <w:r>
                    <w:rPr>
                      <w:rFonts w:hint="eastAsia"/>
                      <w:lang w:val="en-US" w:eastAsia="zh-CN"/>
                    </w:rPr>
                    <w:t>二级</w:t>
                  </w:r>
                  <w:r>
                    <w:t>活性炭吸附装置+15m排气筒</w:t>
                  </w:r>
                </w:p>
              </w:tc>
              <w:tc>
                <w:tcPr>
                  <w:tcW w:w="1455" w:type="dxa"/>
                  <w:noWrap w:val="0"/>
                  <w:tcMar>
                    <w:top w:w="0" w:type="dxa"/>
                    <w:left w:w="57" w:type="dxa"/>
                    <w:bottom w:w="0" w:type="dxa"/>
                    <w:right w:w="57" w:type="dxa"/>
                  </w:tcMar>
                  <w:vAlign w:val="center"/>
                </w:tcPr>
                <w:p>
                  <w:pPr>
                    <w:pStyle w:val="32"/>
                    <w:jc w:val="center"/>
                    <w:rPr>
                      <w:rFonts w:hint="default"/>
                      <w:lang w:val="en-US" w:eastAsia="zh-CN"/>
                    </w:rPr>
                  </w:pPr>
                  <w:r>
                    <w:rPr>
                      <w:rFonts w:hint="eastAsia"/>
                      <w:lang w:val="en-US" w:eastAsia="zh-CN"/>
                    </w:rPr>
                    <w:t>20</w:t>
                  </w:r>
                </w:p>
              </w:tc>
              <w:tc>
                <w:tcPr>
                  <w:tcW w:w="946" w:type="dxa"/>
                  <w:noWrap w:val="0"/>
                  <w:tcMar>
                    <w:top w:w="0" w:type="dxa"/>
                    <w:left w:w="57" w:type="dxa"/>
                    <w:bottom w:w="0" w:type="dxa"/>
                    <w:right w:w="57" w:type="dxa"/>
                  </w:tcMar>
                  <w:vAlign w:val="center"/>
                </w:tcPr>
                <w:p>
                  <w:pPr>
                    <w:pStyle w:val="32"/>
                    <w:jc w:val="center"/>
                  </w:pPr>
                  <w:r>
                    <w:rPr>
                      <w:rFonts w:hint="eastAsia"/>
                      <w:lang w:val="en-US" w:eastAsia="zh-CN"/>
                    </w:rPr>
                    <w:t>1</w:t>
                  </w:r>
                  <w:r>
                    <w:t>套</w:t>
                  </w:r>
                </w:p>
              </w:tc>
              <w:tc>
                <w:tcPr>
                  <w:tcW w:w="1478" w:type="dxa"/>
                  <w:noWrap w:val="0"/>
                  <w:tcMar>
                    <w:top w:w="0" w:type="dxa"/>
                    <w:left w:w="57" w:type="dxa"/>
                    <w:bottom w:w="0" w:type="dxa"/>
                    <w:right w:w="57" w:type="dxa"/>
                  </w:tcMar>
                  <w:vAlign w:val="center"/>
                </w:tcPr>
                <w:p>
                  <w:pPr>
                    <w:pStyle w:val="32"/>
                    <w:jc w:val="center"/>
                  </w:pPr>
                  <w:r>
                    <w:t>8000m3/h</w:t>
                  </w:r>
                </w:p>
              </w:tc>
              <w:tc>
                <w:tcPr>
                  <w:tcW w:w="1217" w:type="dxa"/>
                  <w:noWrap w:val="0"/>
                  <w:tcMar>
                    <w:top w:w="0" w:type="dxa"/>
                    <w:left w:w="57" w:type="dxa"/>
                    <w:bottom w:w="0" w:type="dxa"/>
                    <w:right w:w="57" w:type="dxa"/>
                  </w:tcMar>
                  <w:vAlign w:val="center"/>
                </w:tcPr>
                <w:p>
                  <w:pPr>
                    <w:pStyle w:val="32"/>
                    <w:jc w:val="center"/>
                  </w:pPr>
                  <w:r>
                    <w:t>废气达标排放</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01" w:type="dxa"/>
                  <w:noWrap w:val="0"/>
                  <w:tcMar>
                    <w:top w:w="0" w:type="dxa"/>
                    <w:left w:w="57" w:type="dxa"/>
                    <w:bottom w:w="0" w:type="dxa"/>
                    <w:right w:w="57" w:type="dxa"/>
                  </w:tcMar>
                  <w:vAlign w:val="center"/>
                </w:tcPr>
                <w:p>
                  <w:pPr>
                    <w:pStyle w:val="32"/>
                    <w:jc w:val="center"/>
                  </w:pPr>
                  <w:r>
                    <w:t>噪声</w:t>
                  </w:r>
                </w:p>
              </w:tc>
              <w:tc>
                <w:tcPr>
                  <w:tcW w:w="2162" w:type="dxa"/>
                  <w:noWrap w:val="0"/>
                  <w:tcMar>
                    <w:top w:w="0" w:type="dxa"/>
                    <w:left w:w="57" w:type="dxa"/>
                    <w:bottom w:w="0" w:type="dxa"/>
                    <w:right w:w="57" w:type="dxa"/>
                  </w:tcMar>
                  <w:vAlign w:val="center"/>
                </w:tcPr>
                <w:p>
                  <w:pPr>
                    <w:pStyle w:val="32"/>
                    <w:jc w:val="center"/>
                  </w:pPr>
                  <w:r>
                    <w:t>消声、减振基础及隔声</w:t>
                  </w:r>
                </w:p>
              </w:tc>
              <w:tc>
                <w:tcPr>
                  <w:tcW w:w="1455" w:type="dxa"/>
                  <w:noWrap w:val="0"/>
                  <w:tcMar>
                    <w:top w:w="0" w:type="dxa"/>
                    <w:left w:w="57" w:type="dxa"/>
                    <w:bottom w:w="0" w:type="dxa"/>
                    <w:right w:w="57" w:type="dxa"/>
                  </w:tcMar>
                  <w:vAlign w:val="center"/>
                </w:tcPr>
                <w:p>
                  <w:pPr>
                    <w:pStyle w:val="32"/>
                    <w:jc w:val="center"/>
                    <w:rPr>
                      <w:rFonts w:hint="eastAsia"/>
                      <w:lang w:eastAsia="zh-CN"/>
                    </w:rPr>
                  </w:pPr>
                  <w:r>
                    <w:rPr>
                      <w:rFonts w:hint="eastAsia"/>
                      <w:lang w:val="en-US" w:eastAsia="zh-CN"/>
                    </w:rPr>
                    <w:t>5</w:t>
                  </w:r>
                </w:p>
              </w:tc>
              <w:tc>
                <w:tcPr>
                  <w:tcW w:w="946" w:type="dxa"/>
                  <w:noWrap w:val="0"/>
                  <w:tcMar>
                    <w:top w:w="0" w:type="dxa"/>
                    <w:left w:w="57" w:type="dxa"/>
                    <w:bottom w:w="0" w:type="dxa"/>
                    <w:right w:w="57" w:type="dxa"/>
                  </w:tcMar>
                  <w:vAlign w:val="center"/>
                </w:tcPr>
                <w:p>
                  <w:pPr>
                    <w:pStyle w:val="32"/>
                    <w:jc w:val="center"/>
                  </w:pPr>
                  <w:r>
                    <w:t>/</w:t>
                  </w:r>
                </w:p>
              </w:tc>
              <w:tc>
                <w:tcPr>
                  <w:tcW w:w="1478" w:type="dxa"/>
                  <w:noWrap w:val="0"/>
                  <w:tcMar>
                    <w:top w:w="0" w:type="dxa"/>
                    <w:left w:w="57" w:type="dxa"/>
                    <w:bottom w:w="0" w:type="dxa"/>
                    <w:right w:w="57" w:type="dxa"/>
                  </w:tcMar>
                  <w:vAlign w:val="center"/>
                </w:tcPr>
                <w:p>
                  <w:pPr>
                    <w:pStyle w:val="32"/>
                    <w:jc w:val="center"/>
                  </w:pPr>
                  <w:r>
                    <w:t>降噪25dB(A)</w:t>
                  </w:r>
                </w:p>
              </w:tc>
              <w:tc>
                <w:tcPr>
                  <w:tcW w:w="1217" w:type="dxa"/>
                  <w:noWrap w:val="0"/>
                  <w:tcMar>
                    <w:top w:w="0" w:type="dxa"/>
                    <w:left w:w="57" w:type="dxa"/>
                    <w:bottom w:w="0" w:type="dxa"/>
                    <w:right w:w="57" w:type="dxa"/>
                  </w:tcMar>
                  <w:vAlign w:val="center"/>
                </w:tcPr>
                <w:p>
                  <w:pPr>
                    <w:pStyle w:val="32"/>
                    <w:jc w:val="center"/>
                  </w:pPr>
                  <w:r>
                    <w:t>厂界噪声达标</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01" w:type="dxa"/>
                  <w:vMerge w:val="restart"/>
                  <w:noWrap w:val="0"/>
                  <w:tcMar>
                    <w:top w:w="0" w:type="dxa"/>
                    <w:left w:w="57" w:type="dxa"/>
                    <w:bottom w:w="0" w:type="dxa"/>
                    <w:right w:w="57" w:type="dxa"/>
                  </w:tcMar>
                  <w:vAlign w:val="center"/>
                </w:tcPr>
                <w:p>
                  <w:pPr>
                    <w:pStyle w:val="32"/>
                    <w:jc w:val="center"/>
                  </w:pPr>
                  <w:r>
                    <w:t>固废</w:t>
                  </w:r>
                </w:p>
              </w:tc>
              <w:tc>
                <w:tcPr>
                  <w:tcW w:w="2162" w:type="dxa"/>
                  <w:noWrap w:val="0"/>
                  <w:tcMar>
                    <w:top w:w="0" w:type="dxa"/>
                    <w:left w:w="57" w:type="dxa"/>
                    <w:bottom w:w="0" w:type="dxa"/>
                    <w:right w:w="57" w:type="dxa"/>
                  </w:tcMar>
                  <w:vAlign w:val="center"/>
                </w:tcPr>
                <w:p>
                  <w:pPr>
                    <w:pStyle w:val="32"/>
                    <w:jc w:val="center"/>
                  </w:pPr>
                  <w:r>
                    <w:t>一般固废仓库</w:t>
                  </w:r>
                </w:p>
              </w:tc>
              <w:tc>
                <w:tcPr>
                  <w:tcW w:w="1455" w:type="dxa"/>
                  <w:noWrap w:val="0"/>
                  <w:tcMar>
                    <w:top w:w="0" w:type="dxa"/>
                    <w:left w:w="57" w:type="dxa"/>
                    <w:bottom w:w="0" w:type="dxa"/>
                    <w:right w:w="57" w:type="dxa"/>
                  </w:tcMar>
                  <w:vAlign w:val="center"/>
                </w:tcPr>
                <w:p>
                  <w:pPr>
                    <w:pStyle w:val="32"/>
                    <w:jc w:val="center"/>
                  </w:pPr>
                  <w:r>
                    <w:t>2</w:t>
                  </w:r>
                </w:p>
              </w:tc>
              <w:tc>
                <w:tcPr>
                  <w:tcW w:w="946" w:type="dxa"/>
                  <w:noWrap w:val="0"/>
                  <w:tcMar>
                    <w:top w:w="0" w:type="dxa"/>
                    <w:left w:w="57" w:type="dxa"/>
                    <w:bottom w:w="0" w:type="dxa"/>
                    <w:right w:w="57" w:type="dxa"/>
                  </w:tcMar>
                  <w:vAlign w:val="center"/>
                </w:tcPr>
                <w:p>
                  <w:pPr>
                    <w:pStyle w:val="32"/>
                    <w:jc w:val="center"/>
                  </w:pPr>
                  <w:r>
                    <w:t>1座</w:t>
                  </w:r>
                </w:p>
              </w:tc>
              <w:tc>
                <w:tcPr>
                  <w:tcW w:w="1478" w:type="dxa"/>
                  <w:noWrap w:val="0"/>
                  <w:tcMar>
                    <w:top w:w="0" w:type="dxa"/>
                    <w:left w:w="57" w:type="dxa"/>
                    <w:bottom w:w="0" w:type="dxa"/>
                    <w:right w:w="57" w:type="dxa"/>
                  </w:tcMar>
                  <w:vAlign w:val="center"/>
                </w:tcPr>
                <w:p>
                  <w:pPr>
                    <w:pStyle w:val="32"/>
                    <w:jc w:val="center"/>
                  </w:pPr>
                  <w:r>
                    <w:t>新建10m2</w:t>
                  </w:r>
                </w:p>
              </w:tc>
              <w:tc>
                <w:tcPr>
                  <w:tcW w:w="1217" w:type="dxa"/>
                  <w:vMerge w:val="restart"/>
                  <w:noWrap w:val="0"/>
                  <w:tcMar>
                    <w:top w:w="0" w:type="dxa"/>
                    <w:left w:w="57" w:type="dxa"/>
                    <w:bottom w:w="0" w:type="dxa"/>
                    <w:right w:w="57" w:type="dxa"/>
                  </w:tcMar>
                  <w:vAlign w:val="center"/>
                </w:tcPr>
                <w:p>
                  <w:pPr>
                    <w:pStyle w:val="32"/>
                    <w:jc w:val="center"/>
                  </w:pPr>
                  <w:r>
                    <w:t>满足环境管理要求</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01" w:type="dxa"/>
                  <w:vMerge w:val="continue"/>
                  <w:noWrap w:val="0"/>
                  <w:tcMar>
                    <w:top w:w="0" w:type="dxa"/>
                    <w:left w:w="57" w:type="dxa"/>
                    <w:bottom w:w="0" w:type="dxa"/>
                    <w:right w:w="57" w:type="dxa"/>
                  </w:tcMar>
                  <w:vAlign w:val="center"/>
                </w:tcPr>
                <w:p>
                  <w:pPr>
                    <w:pStyle w:val="32"/>
                    <w:jc w:val="center"/>
                  </w:pPr>
                </w:p>
              </w:tc>
              <w:tc>
                <w:tcPr>
                  <w:tcW w:w="2162" w:type="dxa"/>
                  <w:noWrap w:val="0"/>
                  <w:tcMar>
                    <w:top w:w="0" w:type="dxa"/>
                    <w:left w:w="57" w:type="dxa"/>
                    <w:bottom w:w="0" w:type="dxa"/>
                    <w:right w:w="57" w:type="dxa"/>
                  </w:tcMar>
                  <w:vAlign w:val="center"/>
                </w:tcPr>
                <w:p>
                  <w:pPr>
                    <w:pStyle w:val="32"/>
                    <w:jc w:val="center"/>
                  </w:pPr>
                  <w:r>
                    <w:t>危废仓库</w:t>
                  </w:r>
                </w:p>
              </w:tc>
              <w:tc>
                <w:tcPr>
                  <w:tcW w:w="1455" w:type="dxa"/>
                  <w:noWrap w:val="0"/>
                  <w:tcMar>
                    <w:top w:w="0" w:type="dxa"/>
                    <w:left w:w="57" w:type="dxa"/>
                    <w:bottom w:w="0" w:type="dxa"/>
                    <w:right w:w="57" w:type="dxa"/>
                  </w:tcMar>
                  <w:vAlign w:val="center"/>
                </w:tcPr>
                <w:p>
                  <w:pPr>
                    <w:pStyle w:val="32"/>
                    <w:jc w:val="center"/>
                    <w:rPr>
                      <w:rFonts w:hint="eastAsia"/>
                      <w:lang w:eastAsia="zh-CN"/>
                    </w:rPr>
                  </w:pPr>
                  <w:r>
                    <w:rPr>
                      <w:rFonts w:hint="eastAsia"/>
                      <w:lang w:val="en-US" w:eastAsia="zh-CN"/>
                    </w:rPr>
                    <w:t>3</w:t>
                  </w:r>
                </w:p>
              </w:tc>
              <w:tc>
                <w:tcPr>
                  <w:tcW w:w="946" w:type="dxa"/>
                  <w:noWrap w:val="0"/>
                  <w:tcMar>
                    <w:top w:w="0" w:type="dxa"/>
                    <w:left w:w="57" w:type="dxa"/>
                    <w:bottom w:w="0" w:type="dxa"/>
                    <w:right w:w="57" w:type="dxa"/>
                  </w:tcMar>
                  <w:vAlign w:val="center"/>
                </w:tcPr>
                <w:p>
                  <w:pPr>
                    <w:pStyle w:val="32"/>
                    <w:jc w:val="center"/>
                  </w:pPr>
                  <w:r>
                    <w:t>1座</w:t>
                  </w:r>
                </w:p>
              </w:tc>
              <w:tc>
                <w:tcPr>
                  <w:tcW w:w="1478" w:type="dxa"/>
                  <w:noWrap w:val="0"/>
                  <w:tcMar>
                    <w:top w:w="0" w:type="dxa"/>
                    <w:left w:w="57" w:type="dxa"/>
                    <w:bottom w:w="0" w:type="dxa"/>
                    <w:right w:w="57" w:type="dxa"/>
                  </w:tcMar>
                  <w:vAlign w:val="center"/>
                </w:tcPr>
                <w:p>
                  <w:pPr>
                    <w:pStyle w:val="32"/>
                    <w:jc w:val="center"/>
                  </w:pPr>
                  <w:r>
                    <w:t>新建</w:t>
                  </w:r>
                  <w:r>
                    <w:rPr>
                      <w:rFonts w:hint="eastAsia"/>
                      <w:lang w:val="en-US" w:eastAsia="zh-CN"/>
                    </w:rPr>
                    <w:t>5</w:t>
                  </w:r>
                  <w:r>
                    <w:t>m2</w:t>
                  </w:r>
                </w:p>
              </w:tc>
              <w:tc>
                <w:tcPr>
                  <w:tcW w:w="1217" w:type="dxa"/>
                  <w:vMerge w:val="continue"/>
                  <w:noWrap w:val="0"/>
                  <w:tcMar>
                    <w:top w:w="0" w:type="dxa"/>
                    <w:left w:w="57" w:type="dxa"/>
                    <w:bottom w:w="0" w:type="dxa"/>
                    <w:right w:w="57" w:type="dxa"/>
                  </w:tcMar>
                  <w:vAlign w:val="center"/>
                </w:tcPr>
                <w:p>
                  <w:pPr>
                    <w:pStyle w:val="32"/>
                    <w:jc w:val="cente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863" w:type="dxa"/>
                  <w:gridSpan w:val="2"/>
                  <w:noWrap w:val="0"/>
                  <w:tcMar>
                    <w:top w:w="0" w:type="dxa"/>
                    <w:left w:w="57" w:type="dxa"/>
                    <w:bottom w:w="0" w:type="dxa"/>
                    <w:right w:w="57" w:type="dxa"/>
                  </w:tcMar>
                  <w:vAlign w:val="center"/>
                </w:tcPr>
                <w:p>
                  <w:pPr>
                    <w:pStyle w:val="32"/>
                    <w:jc w:val="center"/>
                  </w:pPr>
                  <w:r>
                    <w:t>合计</w:t>
                  </w:r>
                </w:p>
              </w:tc>
              <w:tc>
                <w:tcPr>
                  <w:tcW w:w="1455" w:type="dxa"/>
                  <w:noWrap w:val="0"/>
                  <w:tcMar>
                    <w:top w:w="0" w:type="dxa"/>
                    <w:left w:w="57" w:type="dxa"/>
                    <w:bottom w:w="0" w:type="dxa"/>
                    <w:right w:w="57" w:type="dxa"/>
                  </w:tcMar>
                  <w:vAlign w:val="center"/>
                </w:tcPr>
                <w:p>
                  <w:pPr>
                    <w:pStyle w:val="32"/>
                    <w:jc w:val="center"/>
                    <w:rPr>
                      <w:rFonts w:hint="default"/>
                      <w:lang w:val="en-US" w:eastAsia="zh-CN"/>
                    </w:rPr>
                  </w:pPr>
                  <w:r>
                    <w:rPr>
                      <w:rFonts w:hint="eastAsia"/>
                      <w:lang w:val="en-US" w:eastAsia="zh-CN"/>
                    </w:rPr>
                    <w:t>30</w:t>
                  </w:r>
                </w:p>
              </w:tc>
              <w:tc>
                <w:tcPr>
                  <w:tcW w:w="946" w:type="dxa"/>
                  <w:noWrap w:val="0"/>
                  <w:tcMar>
                    <w:top w:w="0" w:type="dxa"/>
                    <w:left w:w="57" w:type="dxa"/>
                    <w:bottom w:w="0" w:type="dxa"/>
                    <w:right w:w="57" w:type="dxa"/>
                  </w:tcMar>
                  <w:vAlign w:val="center"/>
                </w:tcPr>
                <w:p>
                  <w:pPr>
                    <w:pStyle w:val="32"/>
                    <w:jc w:val="center"/>
                  </w:pPr>
                  <w:r>
                    <w:t>/</w:t>
                  </w:r>
                </w:p>
              </w:tc>
              <w:tc>
                <w:tcPr>
                  <w:tcW w:w="1478" w:type="dxa"/>
                  <w:noWrap w:val="0"/>
                  <w:tcMar>
                    <w:top w:w="0" w:type="dxa"/>
                    <w:left w:w="57" w:type="dxa"/>
                    <w:bottom w:w="0" w:type="dxa"/>
                    <w:right w:w="57" w:type="dxa"/>
                  </w:tcMar>
                  <w:vAlign w:val="center"/>
                </w:tcPr>
                <w:p>
                  <w:pPr>
                    <w:pStyle w:val="32"/>
                    <w:jc w:val="center"/>
                  </w:pPr>
                  <w:r>
                    <w:t>/</w:t>
                  </w:r>
                </w:p>
              </w:tc>
              <w:tc>
                <w:tcPr>
                  <w:tcW w:w="1217" w:type="dxa"/>
                  <w:noWrap w:val="0"/>
                  <w:tcMar>
                    <w:top w:w="0" w:type="dxa"/>
                    <w:left w:w="57" w:type="dxa"/>
                    <w:bottom w:w="0" w:type="dxa"/>
                    <w:right w:w="57" w:type="dxa"/>
                  </w:tcMar>
                  <w:vAlign w:val="center"/>
                </w:tcPr>
                <w:p>
                  <w:pPr>
                    <w:pStyle w:val="32"/>
                    <w:jc w:val="center"/>
                  </w:pPr>
                  <w:r>
                    <w:t>/</w:t>
                  </w:r>
                </w:p>
              </w:tc>
            </w:tr>
          </w:tbl>
          <w:p>
            <w:pPr>
              <w:widowControl/>
              <w:spacing w:line="480" w:lineRule="exact"/>
              <w:ind w:firstLine="420" w:firstLineChars="200"/>
              <w:jc w:val="left"/>
            </w:pPr>
            <w:r>
              <w:t>8、厂区周围概况及平面布置</w:t>
            </w:r>
          </w:p>
          <w:p>
            <w:pPr>
              <w:widowControl/>
              <w:spacing w:line="480" w:lineRule="exact"/>
              <w:ind w:firstLine="420" w:firstLineChars="200"/>
              <w:jc w:val="left"/>
            </w:pPr>
            <w:r>
              <w:t>本项目位于江苏省常州市武进国家高新技术产业开发区龙逸路76号，高噪声设备多位于车间中，布局合理。</w:t>
            </w:r>
            <w:r>
              <w:rPr>
                <w:rFonts w:hint="eastAsia"/>
                <w:lang w:val="en-US" w:eastAsia="zh-CN"/>
              </w:rPr>
              <w:t>车间东南部为办公区，西侧为生产车间，车间内西南部为吹塑区域，中部为流通、周转区，南部为原料堆放区域，吹塑区域北为制袋、装袋区；一般固废仓库、危废仓库位于车间东侧。租赁厂区北</w:t>
            </w:r>
            <w:r>
              <w:t>侧为龙逸路，隔路为</w:t>
            </w:r>
            <w:r>
              <w:rPr>
                <w:rFonts w:hint="eastAsia"/>
                <w:lang w:val="en-US" w:eastAsia="zh-CN"/>
              </w:rPr>
              <w:t>双博运动</w:t>
            </w:r>
            <w:r>
              <w:t>；南侧为</w:t>
            </w:r>
            <w:r>
              <w:rPr>
                <w:rFonts w:hint="eastAsia"/>
                <w:lang w:val="en-US" w:eastAsia="zh-CN"/>
              </w:rPr>
              <w:t>天武纺织</w:t>
            </w:r>
            <w:r>
              <w:t>；东侧为</w:t>
            </w:r>
            <w:r>
              <w:rPr>
                <w:rFonts w:hint="eastAsia"/>
                <w:lang w:val="en-US" w:eastAsia="zh-CN"/>
              </w:rPr>
              <w:t>华丽鞋业</w:t>
            </w:r>
            <w:r>
              <w:t>；</w:t>
            </w:r>
            <w:r>
              <w:rPr>
                <w:rFonts w:hint="eastAsia"/>
                <w:lang w:val="en-US" w:eastAsia="zh-CN"/>
              </w:rPr>
              <w:t>西</w:t>
            </w:r>
            <w:r>
              <w:t>侧为</w:t>
            </w:r>
            <w:r>
              <w:rPr>
                <w:rFonts w:hint="eastAsia"/>
                <w:lang w:val="en-US" w:eastAsia="zh-CN"/>
              </w:rPr>
              <w:t>常州塔博公司</w:t>
            </w:r>
            <w:r>
              <w:t>。距本项目最近的敏感点是位于项目车间</w:t>
            </w:r>
            <w:r>
              <w:rPr>
                <w:rFonts w:hint="eastAsia"/>
                <w:lang w:val="en-US" w:eastAsia="zh-CN"/>
              </w:rPr>
              <w:t>东</w:t>
            </w:r>
            <w:r>
              <w:t>侧</w:t>
            </w:r>
            <w:r>
              <w:rPr>
                <w:rFonts w:hint="eastAsia"/>
                <w:lang w:val="en-US" w:eastAsia="zh-CN"/>
              </w:rPr>
              <w:t>328</w:t>
            </w:r>
            <w:r>
              <w:t>m的</w:t>
            </w:r>
            <w:r>
              <w:rPr>
                <w:rFonts w:hint="eastAsia"/>
                <w:lang w:val="en-US" w:eastAsia="zh-CN"/>
              </w:rPr>
              <w:t>马池沟</w:t>
            </w:r>
            <w:r>
              <w:rPr>
                <w:rFonts w:hint="eastAsia"/>
              </w:rPr>
              <w:t>村</w:t>
            </w:r>
            <w:r>
              <w:t>。</w:t>
            </w:r>
          </w:p>
          <w:p>
            <w:pPr>
              <w:widowControl/>
              <w:spacing w:line="480" w:lineRule="exact"/>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建设项目地理位置图见附图1；</w:t>
            </w:r>
          </w:p>
          <w:p>
            <w:pPr>
              <w:widowControl/>
              <w:spacing w:line="480" w:lineRule="exact"/>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建设项目500米范围土地利用现状示意图见附图2；</w:t>
            </w:r>
          </w:p>
          <w:p>
            <w:pPr>
              <w:widowControl/>
              <w:spacing w:line="480" w:lineRule="exact"/>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建设项目厂区平面布置图见附图</w:t>
            </w:r>
            <w:r>
              <w:rPr>
                <w:rFonts w:hint="eastAsia"/>
                <w:color w:val="000000" w:themeColor="text1"/>
                <w:lang w:val="en-US" w:eastAsia="zh-CN"/>
                <w14:textFill>
                  <w14:solidFill>
                    <w14:schemeClr w14:val="tx1"/>
                  </w14:solidFill>
                </w14:textFill>
              </w:rPr>
              <w:t>3-1</w:t>
            </w:r>
            <w:r>
              <w:rPr>
                <w:color w:val="000000" w:themeColor="text1"/>
                <w14:textFill>
                  <w14:solidFill>
                    <w14:schemeClr w14:val="tx1"/>
                  </w14:solidFill>
                </w14:textFill>
              </w:rPr>
              <w:t>；</w:t>
            </w:r>
          </w:p>
          <w:p>
            <w:pPr>
              <w:widowControl/>
              <w:spacing w:line="480" w:lineRule="exact"/>
              <w:ind w:firstLine="420" w:firstLineChars="200"/>
              <w:jc w:val="left"/>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建设项目</w:t>
            </w:r>
            <w:r>
              <w:rPr>
                <w:rFonts w:hint="eastAsia"/>
                <w:color w:val="000000" w:themeColor="text1"/>
                <w:lang w:val="en-US" w:eastAsia="zh-CN"/>
                <w14:textFill>
                  <w14:solidFill>
                    <w14:schemeClr w14:val="tx1"/>
                  </w14:solidFill>
                </w14:textFill>
              </w:rPr>
              <w:t>车间</w:t>
            </w:r>
            <w:r>
              <w:rPr>
                <w:color w:val="000000" w:themeColor="text1"/>
                <w14:textFill>
                  <w14:solidFill>
                    <w14:schemeClr w14:val="tx1"/>
                  </w14:solidFill>
                </w14:textFill>
              </w:rPr>
              <w:t>平面布置图见附图</w:t>
            </w:r>
            <w:r>
              <w:rPr>
                <w:rFonts w:hint="eastAsia"/>
                <w:color w:val="000000" w:themeColor="text1"/>
                <w:lang w:val="en-US" w:eastAsia="zh-CN"/>
                <w14:textFill>
                  <w14:solidFill>
                    <w14:schemeClr w14:val="tx1"/>
                  </w14:solidFill>
                </w14:textFill>
              </w:rPr>
              <w:t>3-2</w:t>
            </w:r>
            <w:r>
              <w:rPr>
                <w:color w:val="000000" w:themeColor="text1"/>
                <w14:textFill>
                  <w14:solidFill>
                    <w14:schemeClr w14:val="tx1"/>
                  </w14:solidFill>
                </w14:textFill>
              </w:rPr>
              <w:t>；</w:t>
            </w:r>
          </w:p>
          <w:p>
            <w:pPr>
              <w:widowControl/>
              <w:spacing w:line="48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建设项目与生态红线区域规划关系图</w:t>
            </w:r>
            <w:r>
              <w:rPr>
                <w:color w:val="000000" w:themeColor="text1"/>
                <w14:textFill>
                  <w14:solidFill>
                    <w14:schemeClr w14:val="tx1"/>
                  </w14:solidFill>
                </w14:textFill>
              </w:rPr>
              <w:t>见附图4；</w:t>
            </w:r>
          </w:p>
          <w:p>
            <w:pPr>
              <w:widowControl/>
              <w:spacing w:line="480" w:lineRule="exact"/>
              <w:ind w:firstLine="420" w:firstLineChars="200"/>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建设项目与常州市环境管控单元关系图</w:t>
            </w:r>
            <w:r>
              <w:rPr>
                <w:color w:val="000000" w:themeColor="text1"/>
                <w14:textFill>
                  <w14:solidFill>
                    <w14:schemeClr w14:val="tx1"/>
                  </w14:solidFill>
                </w14:textFill>
              </w:rPr>
              <w:t>见附图5</w:t>
            </w:r>
            <w:r>
              <w:rPr>
                <w:rFonts w:hint="eastAsia"/>
                <w:color w:val="000000" w:themeColor="text1"/>
                <w:lang w:eastAsia="zh-CN"/>
                <w14:textFill>
                  <w14:solidFill>
                    <w14:schemeClr w14:val="tx1"/>
                  </w14:solidFill>
                </w14:textFill>
              </w:rPr>
              <w:t>；</w:t>
            </w:r>
          </w:p>
          <w:p>
            <w:pPr>
              <w:widowControl/>
              <w:spacing w:line="48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建设项目区域水系图</w:t>
            </w:r>
            <w:r>
              <w:rPr>
                <w:color w:val="000000" w:themeColor="text1"/>
                <w14:textFill>
                  <w14:solidFill>
                    <w14:schemeClr w14:val="tx1"/>
                  </w14:solidFill>
                </w14:textFill>
              </w:rPr>
              <w:t>见附图</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w:t>
            </w:r>
          </w:p>
          <w:p>
            <w:pPr>
              <w:widowControl/>
              <w:spacing w:line="480" w:lineRule="exact"/>
              <w:ind w:firstLine="420" w:firstLineChars="200"/>
              <w:jc w:val="left"/>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建设项目所在地规划图</w:t>
            </w:r>
            <w:r>
              <w:rPr>
                <w:color w:val="000000" w:themeColor="text1"/>
                <w14:textFill>
                  <w14:solidFill>
                    <w14:schemeClr w14:val="tx1"/>
                  </w14:solidFill>
                </w14:textFill>
              </w:rPr>
              <w:t>见附图</w:t>
            </w:r>
            <w:r>
              <w:rPr>
                <w:rFonts w:hint="eastAsia"/>
                <w:color w:val="000000" w:themeColor="text1"/>
                <w:lang w:val="en-US" w:eastAsia="zh-CN"/>
                <w14:textFill>
                  <w14:solidFill>
                    <w14:schemeClr w14:val="tx1"/>
                  </w14:solidFill>
                </w14:textFill>
              </w:rPr>
              <w:t>7。</w:t>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pStyle w:val="8"/>
            </w:pPr>
          </w:p>
        </w:tc>
      </w:tr>
    </w:tbl>
    <w:p>
      <w:pPr>
        <w:pStyle w:val="17"/>
        <w:jc w:val="center"/>
        <w:rPr>
          <w:rFonts w:ascii="黑体" w:hAnsi="黑体" w:eastAsia="黑体"/>
          <w:snapToGrid w:val="0"/>
          <w:sz w:val="36"/>
          <w:szCs w:val="36"/>
        </w:rPr>
        <w:sectPr>
          <w:pgSz w:w="11905" w:h="16838"/>
          <w:pgMar w:top="1701" w:right="1531" w:bottom="1701" w:left="1531" w:header="851" w:footer="850" w:gutter="0"/>
          <w:pgBorders>
            <w:top w:val="none" w:sz="0" w:space="0"/>
            <w:left w:val="none" w:sz="0" w:space="0"/>
            <w:bottom w:val="none" w:sz="0" w:space="0"/>
            <w:right w:val="none" w:sz="0" w:space="0"/>
          </w:pgBorders>
          <w:cols w:space="0" w:num="1"/>
          <w:rtlGutter w:val="0"/>
          <w:docGrid w:linePitch="312" w:charSpace="0"/>
        </w:sectPr>
      </w:pPr>
    </w:p>
    <w:tbl>
      <w:tblPr>
        <w:tblStyle w:val="21"/>
        <w:tblW w:w="90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1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70" w:hRule="atLeast"/>
        </w:trPr>
        <w:tc>
          <w:tcPr>
            <w:tcW w:w="877" w:type="dxa"/>
            <w:noWrap w:val="0"/>
            <w:vAlign w:val="center"/>
          </w:tcPr>
          <w:p>
            <w:pPr>
              <w:pStyle w:val="17"/>
              <w:spacing w:before="0" w:beforeAutospacing="0" w:after="0" w:afterAutospacing="0"/>
              <w:jc w:val="center"/>
              <w:outlineLvl w:val="0"/>
              <w:rPr>
                <w:rFonts w:ascii="Times New Roman" w:hAnsi="Times New Roman"/>
                <w:snapToGrid w:val="0"/>
                <w:sz w:val="21"/>
                <w:szCs w:val="21"/>
              </w:rPr>
            </w:pPr>
            <w:r>
              <w:rPr>
                <w:rFonts w:ascii="Times New Roman" w:hAnsi="Times New Roman"/>
                <w:snapToGrid w:val="0"/>
                <w:sz w:val="21"/>
                <w:szCs w:val="21"/>
              </w:rPr>
              <w:t>工艺流程和产排污环节</w:t>
            </w:r>
          </w:p>
        </w:tc>
        <w:tc>
          <w:tcPr>
            <w:tcW w:w="8178" w:type="dxa"/>
            <w:noWrap w:val="0"/>
            <w:vAlign w:val="top"/>
          </w:tcPr>
          <w:p>
            <w:pPr>
              <w:widowControl/>
              <w:spacing w:line="480" w:lineRule="exact"/>
              <w:jc w:val="left"/>
              <w:rPr>
                <w:b/>
                <w:bCs/>
                <w:szCs w:val="21"/>
              </w:rPr>
            </w:pPr>
            <w:r>
              <w:rPr>
                <w:b/>
                <w:bCs/>
                <w:szCs w:val="21"/>
              </w:rPr>
              <w:t xml:space="preserve">1、施工期 </w:t>
            </w:r>
          </w:p>
          <w:p>
            <w:pPr>
              <w:widowControl/>
              <w:spacing w:line="480" w:lineRule="exact"/>
              <w:ind w:firstLine="420" w:firstLineChars="200"/>
              <w:jc w:val="left"/>
              <w:rPr>
                <w:szCs w:val="21"/>
              </w:rPr>
            </w:pPr>
            <w:r>
              <w:rPr>
                <w:szCs w:val="21"/>
              </w:rPr>
              <w:t>本项目位于</w:t>
            </w:r>
            <w:r>
              <w:t>江苏省常州市武进国家高新技术产业开发区龙逸路76号</w:t>
            </w:r>
            <w:r>
              <w:rPr>
                <w:szCs w:val="21"/>
              </w:rPr>
              <w:t>，租用现有闲置厂房，基建工程已全部结束，施工期主要内容为设备的安装及调试，主要污染物为施工噪声。本项目施工期内容比较简单、工期较短，对周边环境影响很小。</w:t>
            </w:r>
          </w:p>
          <w:p>
            <w:pPr>
              <w:widowControl/>
              <w:spacing w:line="480" w:lineRule="exact"/>
              <w:jc w:val="left"/>
              <w:rPr>
                <w:b/>
                <w:bCs/>
                <w:szCs w:val="21"/>
              </w:rPr>
            </w:pPr>
            <w:r>
              <w:rPr>
                <w:b/>
                <w:bCs/>
                <w:szCs w:val="21"/>
              </w:rPr>
              <w:t>2、营运期：</w:t>
            </w:r>
          </w:p>
          <w:p>
            <w:pPr>
              <w:spacing w:line="480" w:lineRule="exact"/>
              <w:ind w:firstLine="422" w:firstLineChars="200"/>
              <w:rPr>
                <w:b/>
                <w:bCs/>
                <w:szCs w:val="21"/>
              </w:rPr>
            </w:pPr>
            <w:r>
              <w:rPr>
                <w:b/>
                <w:bCs/>
                <w:szCs w:val="21"/>
              </w:rPr>
              <w:t>本项目主要产品工艺流程及产污环节如下：</w:t>
            </w:r>
          </w:p>
          <w:p>
            <w:pPr>
              <w:widowControl/>
              <w:numPr>
                <w:ilvl w:val="0"/>
                <w:numId w:val="4"/>
              </w:numPr>
              <w:spacing w:line="480" w:lineRule="exact"/>
              <w:ind w:firstLine="420" w:firstLineChars="200"/>
              <w:jc w:val="left"/>
              <w:rPr>
                <w:szCs w:val="21"/>
              </w:rPr>
            </w:pPr>
            <w:r>
              <w:rPr>
                <w:rFonts w:hint="eastAsia"/>
                <w:lang w:val="en-US" w:eastAsia="zh-CN"/>
              </w:rPr>
              <w:t>医疗器械用包装袋</w:t>
            </w:r>
            <w:r>
              <w:rPr>
                <w:szCs w:val="21"/>
              </w:rPr>
              <w:t>生产工艺</w:t>
            </w:r>
          </w:p>
          <w:p>
            <w:pPr>
              <w:spacing w:line="0" w:lineRule="atLeast"/>
              <w:jc w:val="center"/>
              <w:rPr>
                <w:b/>
                <w:bCs/>
                <w:sz w:val="18"/>
                <w:szCs w:val="18"/>
              </w:rPr>
            </w:pPr>
            <w:r>
              <w:rPr>
                <w:b/>
                <w:bCs/>
                <w:sz w:val="18"/>
                <w:szCs w:val="18"/>
              </w:rPr>
              <w:object>
                <v:shape id="_x0000_i1026" o:spt="75" type="#_x0000_t75" style="height:356.3pt;width:206.2pt;" o:ole="t" filled="f" o:preferrelative="t" stroked="f" coordsize="21600,21600">
                  <v:path/>
                  <v:fill on="f" focussize="0,0"/>
                  <v:stroke on="f"/>
                  <v:imagedata r:id="rId11" o:title=""/>
                  <o:lock v:ext="edit" aspectratio="t"/>
                  <w10:wrap type="none"/>
                  <w10:anchorlock/>
                </v:shape>
                <o:OLEObject Type="Embed" ProgID="Visio.Drawing.15" ShapeID="_x0000_i1026" DrawAspect="Content" ObjectID="_1468075726" r:id="rId10">
                  <o:LockedField>false</o:LockedField>
                </o:OLEObject>
              </w:object>
            </w:r>
          </w:p>
          <w:p>
            <w:pPr>
              <w:spacing w:line="480" w:lineRule="exact"/>
              <w:jc w:val="center"/>
              <w:rPr>
                <w:b/>
                <w:bCs/>
                <w:sz w:val="18"/>
                <w:szCs w:val="18"/>
              </w:rPr>
            </w:pPr>
            <w:r>
              <w:rPr>
                <w:b/>
                <w:bCs/>
                <w:sz w:val="18"/>
                <w:szCs w:val="18"/>
              </w:rPr>
              <w:t>图2-</w:t>
            </w:r>
            <w:r>
              <w:rPr>
                <w:rFonts w:hint="eastAsia"/>
                <w:b/>
                <w:bCs/>
                <w:sz w:val="18"/>
                <w:szCs w:val="18"/>
                <w:lang w:val="en-US" w:eastAsia="zh-CN"/>
              </w:rPr>
              <w:t>2</w:t>
            </w:r>
            <w:r>
              <w:rPr>
                <w:b/>
                <w:bCs/>
                <w:sz w:val="18"/>
                <w:szCs w:val="18"/>
              </w:rPr>
              <w:t xml:space="preserve">  </w:t>
            </w:r>
            <w:r>
              <w:rPr>
                <w:rFonts w:hint="eastAsia"/>
                <w:b/>
                <w:bCs/>
                <w:sz w:val="18"/>
                <w:szCs w:val="18"/>
                <w:lang w:val="en-US" w:eastAsia="zh-CN"/>
              </w:rPr>
              <w:t>医疗器械用包装袋</w:t>
            </w:r>
            <w:r>
              <w:rPr>
                <w:b/>
                <w:bCs/>
                <w:sz w:val="18"/>
                <w:szCs w:val="18"/>
              </w:rPr>
              <w:t>生产工艺流程及产污环节示意图</w:t>
            </w:r>
          </w:p>
          <w:p>
            <w:pPr>
              <w:spacing w:line="480" w:lineRule="exact"/>
              <w:ind w:firstLine="422" w:firstLineChars="200"/>
              <w:rPr>
                <w:b/>
                <w:szCs w:val="21"/>
              </w:rPr>
            </w:pPr>
            <w:r>
              <w:rPr>
                <w:b/>
                <w:szCs w:val="21"/>
              </w:rPr>
              <w:t>工艺流程简述：</w:t>
            </w:r>
          </w:p>
          <w:p>
            <w:pPr>
              <w:widowControl/>
              <w:spacing w:line="480" w:lineRule="exact"/>
              <w:ind w:firstLine="422" w:firstLineChars="200"/>
              <w:jc w:val="left"/>
              <w:rPr>
                <w:szCs w:val="21"/>
              </w:rPr>
            </w:pPr>
            <w:r>
              <w:rPr>
                <w:b/>
                <w:bCs/>
                <w:szCs w:val="21"/>
              </w:rPr>
              <w:t>混料</w:t>
            </w:r>
            <w:r>
              <w:rPr>
                <w:szCs w:val="21"/>
              </w:rPr>
              <w:t>：将PE投入混料机中搅拌，因塑料粒子都是小粒块状，此过程不会产生粉尘。</w:t>
            </w:r>
          </w:p>
          <w:p>
            <w:pPr>
              <w:widowControl/>
              <w:spacing w:line="480" w:lineRule="exact"/>
              <w:ind w:firstLine="422" w:firstLineChars="200"/>
              <w:jc w:val="left"/>
              <w:rPr>
                <w:szCs w:val="21"/>
              </w:rPr>
            </w:pPr>
            <w:r>
              <w:rPr>
                <w:b/>
                <w:bCs/>
                <w:szCs w:val="21"/>
              </w:rPr>
              <w:t>吸料</w:t>
            </w:r>
            <w:r>
              <w:rPr>
                <w:szCs w:val="21"/>
              </w:rPr>
              <w:t>：吹塑机自带的吸料管将混料后的塑料粒子吸入吹塑机上方的料斗中。</w:t>
            </w:r>
          </w:p>
          <w:p>
            <w:pPr>
              <w:widowControl/>
              <w:spacing w:line="480" w:lineRule="exact"/>
              <w:ind w:firstLine="422" w:firstLineChars="200"/>
              <w:jc w:val="left"/>
              <w:rPr>
                <w:szCs w:val="21"/>
              </w:rPr>
            </w:pPr>
            <w:r>
              <w:rPr>
                <w:b/>
                <w:bCs/>
                <w:szCs w:val="21"/>
              </w:rPr>
              <w:t>吹塑</w:t>
            </w:r>
            <w:r>
              <w:rPr>
                <w:szCs w:val="21"/>
              </w:rPr>
              <w:t>：吹塑机将塑料粒子加热至220-260摄氏度左右的熔融状态，旋转的螺杆就与原料粒子</w:t>
            </w:r>
            <w:r>
              <w:rPr>
                <w:rFonts w:hint="eastAsia"/>
                <w:szCs w:val="21"/>
                <w:lang w:eastAsia="zh-CN"/>
              </w:rPr>
              <w:t>发生</w:t>
            </w:r>
            <w:r>
              <w:rPr>
                <w:szCs w:val="21"/>
              </w:rPr>
              <w:t>相对的推力，从而将塑料粒子向前推移，熔融的塑料经模头模口出来，经过成型辊，牵引辊，卷取将成品薄膜卷成筒状。产生吹塑废气G</w:t>
            </w:r>
            <w:r>
              <w:rPr>
                <w:szCs w:val="21"/>
                <w:vertAlign w:val="subscript"/>
              </w:rPr>
              <w:t>1</w:t>
            </w:r>
            <w:r>
              <w:rPr>
                <w:szCs w:val="21"/>
              </w:rPr>
              <w:t>。</w:t>
            </w:r>
          </w:p>
          <w:p>
            <w:pPr>
              <w:widowControl/>
              <w:spacing w:line="480" w:lineRule="exact"/>
              <w:ind w:firstLine="422" w:firstLineChars="200"/>
              <w:jc w:val="left"/>
              <w:rPr>
                <w:rFonts w:hint="default" w:eastAsia="宋体"/>
                <w:szCs w:val="21"/>
                <w:vertAlign w:val="baseline"/>
                <w:lang w:val="en-US" w:eastAsia="zh-CN"/>
              </w:rPr>
            </w:pPr>
            <w:r>
              <w:rPr>
                <w:rFonts w:hint="eastAsia"/>
                <w:b/>
                <w:bCs/>
                <w:szCs w:val="21"/>
                <w:lang w:val="en-US" w:eastAsia="zh-CN"/>
              </w:rPr>
              <w:t>装袋</w:t>
            </w:r>
            <w:r>
              <w:rPr>
                <w:szCs w:val="21"/>
              </w:rPr>
              <w:t>：</w:t>
            </w:r>
            <w:r>
              <w:rPr>
                <w:rFonts w:hint="eastAsia"/>
                <w:szCs w:val="21"/>
                <w:lang w:val="en-US" w:eastAsia="zh-CN"/>
              </w:rPr>
              <w:t>制成后的</w:t>
            </w:r>
            <w:r>
              <w:rPr>
                <w:szCs w:val="21"/>
              </w:rPr>
              <w:t>筒状薄膜卷</w:t>
            </w:r>
            <w:r>
              <w:rPr>
                <w:rFonts w:hint="eastAsia"/>
                <w:szCs w:val="21"/>
                <w:lang w:val="en-US" w:eastAsia="zh-CN"/>
              </w:rPr>
              <w:t>通过装袋机裁切成不同尺寸的</w:t>
            </w:r>
            <w:r>
              <w:rPr>
                <w:szCs w:val="21"/>
              </w:rPr>
              <w:t>筒状薄膜卷，此过程产生</w:t>
            </w:r>
            <w:r>
              <w:rPr>
                <w:rFonts w:hint="eastAsia"/>
                <w:szCs w:val="21"/>
                <w:lang w:val="en-US" w:eastAsia="zh-CN"/>
              </w:rPr>
              <w:t>边角料</w:t>
            </w:r>
            <w:r>
              <w:rPr>
                <w:szCs w:val="21"/>
              </w:rPr>
              <w:t>S</w:t>
            </w:r>
            <w:r>
              <w:rPr>
                <w:rFonts w:hint="eastAsia"/>
                <w:szCs w:val="21"/>
                <w:vertAlign w:val="subscript"/>
                <w:lang w:val="en-US" w:eastAsia="zh-CN"/>
              </w:rPr>
              <w:t>1</w:t>
            </w:r>
            <w:r>
              <w:rPr>
                <w:rFonts w:hint="eastAsia"/>
                <w:szCs w:val="21"/>
                <w:vertAlign w:val="baseline"/>
                <w:lang w:val="en-US" w:eastAsia="zh-CN"/>
              </w:rPr>
              <w:t>。</w:t>
            </w:r>
          </w:p>
          <w:p>
            <w:pPr>
              <w:widowControl/>
              <w:spacing w:line="480" w:lineRule="exact"/>
              <w:ind w:firstLine="422" w:firstLineChars="200"/>
              <w:jc w:val="left"/>
              <w:rPr>
                <w:rFonts w:hint="eastAsia" w:eastAsia="宋体"/>
                <w:b/>
                <w:bCs/>
                <w:szCs w:val="21"/>
                <w:lang w:val="en-US" w:eastAsia="zh-CN"/>
              </w:rPr>
            </w:pPr>
            <w:r>
              <w:rPr>
                <w:rFonts w:hint="eastAsia"/>
                <w:b/>
                <w:bCs/>
                <w:szCs w:val="21"/>
                <w:lang w:val="en-US" w:eastAsia="zh-CN"/>
              </w:rPr>
              <w:t>制袋、烫袋：</w:t>
            </w:r>
            <w:r>
              <w:rPr>
                <w:rFonts w:hint="eastAsia"/>
                <w:b w:val="0"/>
                <w:bCs w:val="0"/>
                <w:szCs w:val="21"/>
                <w:lang w:val="en-US" w:eastAsia="zh-CN"/>
              </w:rPr>
              <w:t>将裁切后塑料膜置于全自动制袋机或人工烫袋机上，通过高温封刀进行封边、切断（电加热，加热温度为150℃），制成成品塑料包装袋；加热过程中产生制袋、烫袋废气G</w:t>
            </w:r>
            <w:r>
              <w:rPr>
                <w:rFonts w:hint="eastAsia"/>
                <w:b w:val="0"/>
                <w:bCs w:val="0"/>
                <w:szCs w:val="21"/>
                <w:vertAlign w:val="subscript"/>
                <w:lang w:val="en-US" w:eastAsia="zh-CN"/>
              </w:rPr>
              <w:t>2</w:t>
            </w:r>
            <w:r>
              <w:rPr>
                <w:rFonts w:hint="eastAsia"/>
                <w:b w:val="0"/>
                <w:bCs w:val="0"/>
                <w:szCs w:val="21"/>
                <w:lang w:val="en-US" w:eastAsia="zh-CN"/>
              </w:rPr>
              <w:t>，</w:t>
            </w:r>
            <w:r>
              <w:rPr>
                <w:szCs w:val="21"/>
              </w:rPr>
              <w:t>产生约1%不合格品作为一般固废外售，此过程产生不合格品S</w:t>
            </w:r>
            <w:r>
              <w:rPr>
                <w:rFonts w:hint="eastAsia"/>
                <w:szCs w:val="21"/>
                <w:vertAlign w:val="subscript"/>
                <w:lang w:val="en-US" w:eastAsia="zh-CN"/>
              </w:rPr>
              <w:t>2</w:t>
            </w:r>
            <w:r>
              <w:rPr>
                <w:rFonts w:hint="eastAsia"/>
                <w:b w:val="0"/>
                <w:bCs w:val="0"/>
                <w:szCs w:val="21"/>
                <w:lang w:val="en-US" w:eastAsia="zh-CN"/>
              </w:rPr>
              <w:t>。</w:t>
            </w:r>
          </w:p>
          <w:p>
            <w:pPr>
              <w:widowControl/>
              <w:spacing w:line="480" w:lineRule="exact"/>
              <w:ind w:firstLine="420" w:firstLineChars="200"/>
              <w:jc w:val="left"/>
              <w:rPr>
                <w:szCs w:val="21"/>
              </w:rPr>
            </w:pPr>
            <w:r>
              <w:rPr>
                <w:szCs w:val="21"/>
              </w:rPr>
              <w:t>（</w:t>
            </w:r>
            <w:r>
              <w:rPr>
                <w:rFonts w:hint="eastAsia"/>
                <w:szCs w:val="21"/>
                <w:lang w:val="en-US" w:eastAsia="zh-CN"/>
              </w:rPr>
              <w:t>2</w:t>
            </w:r>
            <w:r>
              <w:rPr>
                <w:szCs w:val="21"/>
              </w:rPr>
              <w:t xml:space="preserve">）其他产污工序 </w:t>
            </w:r>
          </w:p>
          <w:p>
            <w:pPr>
              <w:widowControl/>
              <w:spacing w:line="480" w:lineRule="exact"/>
              <w:ind w:firstLine="420" w:firstLineChars="200"/>
              <w:jc w:val="left"/>
              <w:rPr>
                <w:szCs w:val="21"/>
              </w:rPr>
            </w:pPr>
            <w:r>
              <w:rPr>
                <w:szCs w:val="21"/>
              </w:rPr>
              <w:t>废气处理装置中活性炭定期更换产生废活性炭S</w:t>
            </w:r>
            <w:r>
              <w:rPr>
                <w:rFonts w:hint="eastAsia"/>
                <w:szCs w:val="21"/>
                <w:vertAlign w:val="subscript"/>
                <w:lang w:val="en-US" w:eastAsia="zh-CN"/>
              </w:rPr>
              <w:t>3</w:t>
            </w:r>
            <w:r>
              <w:rPr>
                <w:szCs w:val="21"/>
              </w:rPr>
              <w:t>；</w:t>
            </w:r>
          </w:p>
          <w:p>
            <w:pPr>
              <w:widowControl/>
              <w:spacing w:line="480" w:lineRule="exact"/>
              <w:ind w:firstLine="420" w:firstLineChars="200"/>
              <w:jc w:val="left"/>
              <w:rPr>
                <w:rFonts w:hint="eastAsia"/>
                <w:szCs w:val="21"/>
                <w:lang w:eastAsia="zh-CN"/>
              </w:rPr>
            </w:pPr>
            <w:r>
              <w:rPr>
                <w:szCs w:val="21"/>
              </w:rPr>
              <w:t>原辅材料拆包过程中会有废一般包装材料S</w:t>
            </w:r>
            <w:r>
              <w:rPr>
                <w:rFonts w:hint="eastAsia"/>
                <w:szCs w:val="21"/>
                <w:vertAlign w:val="subscript"/>
                <w:lang w:val="en-US" w:eastAsia="zh-CN"/>
              </w:rPr>
              <w:t>4</w:t>
            </w:r>
            <w:r>
              <w:rPr>
                <w:szCs w:val="21"/>
              </w:rPr>
              <w:t>产生</w:t>
            </w:r>
            <w:r>
              <w:rPr>
                <w:rFonts w:hint="eastAsia"/>
                <w:szCs w:val="21"/>
                <w:lang w:val="en-US" w:eastAsia="zh-CN"/>
              </w:rPr>
              <w:t>。</w:t>
            </w:r>
          </w:p>
          <w:p>
            <w:pPr>
              <w:spacing w:line="480" w:lineRule="exact"/>
              <w:jc w:val="center"/>
              <w:rPr>
                <w:b/>
                <w:bCs/>
                <w:sz w:val="18"/>
                <w:szCs w:val="18"/>
              </w:rPr>
            </w:pPr>
            <w:r>
              <w:rPr>
                <w:b/>
                <w:bCs/>
                <w:sz w:val="18"/>
                <w:szCs w:val="18"/>
              </w:rPr>
              <w:t>表2-7  本项目主要产污环节汇总表</w:t>
            </w:r>
          </w:p>
          <w:tbl>
            <w:tblPr>
              <w:tblStyle w:val="21"/>
              <w:tblW w:w="7940" w:type="dxa"/>
              <w:tblInd w:w="5"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446"/>
              <w:gridCol w:w="1700"/>
              <w:gridCol w:w="256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231" w:type="dxa"/>
                  <w:noWrap w:val="0"/>
                  <w:vAlign w:val="center"/>
                </w:tcPr>
                <w:p>
                  <w:pPr>
                    <w:widowControl/>
                    <w:jc w:val="center"/>
                    <w:rPr>
                      <w:b/>
                      <w:sz w:val="18"/>
                      <w:szCs w:val="18"/>
                    </w:rPr>
                  </w:pPr>
                  <w:r>
                    <w:rPr>
                      <w:b/>
                      <w:sz w:val="18"/>
                      <w:szCs w:val="18"/>
                    </w:rPr>
                    <w:t>类别</w:t>
                  </w:r>
                </w:p>
              </w:tc>
              <w:tc>
                <w:tcPr>
                  <w:tcW w:w="2446" w:type="dxa"/>
                  <w:noWrap w:val="0"/>
                  <w:vAlign w:val="center"/>
                </w:tcPr>
                <w:p>
                  <w:pPr>
                    <w:widowControl/>
                    <w:jc w:val="center"/>
                    <w:rPr>
                      <w:b/>
                      <w:sz w:val="18"/>
                      <w:szCs w:val="18"/>
                    </w:rPr>
                  </w:pPr>
                  <w:r>
                    <w:rPr>
                      <w:b/>
                      <w:sz w:val="18"/>
                      <w:szCs w:val="18"/>
                    </w:rPr>
                    <w:t>产污环节</w:t>
                  </w:r>
                </w:p>
              </w:tc>
              <w:tc>
                <w:tcPr>
                  <w:tcW w:w="1700" w:type="dxa"/>
                  <w:noWrap w:val="0"/>
                  <w:vAlign w:val="center"/>
                </w:tcPr>
                <w:p>
                  <w:pPr>
                    <w:widowControl/>
                    <w:jc w:val="center"/>
                    <w:rPr>
                      <w:b/>
                      <w:sz w:val="18"/>
                      <w:szCs w:val="18"/>
                    </w:rPr>
                  </w:pPr>
                  <w:r>
                    <w:rPr>
                      <w:b/>
                      <w:sz w:val="18"/>
                      <w:szCs w:val="18"/>
                    </w:rPr>
                    <w:t>污染物类型</w:t>
                  </w:r>
                </w:p>
              </w:tc>
              <w:tc>
                <w:tcPr>
                  <w:tcW w:w="2563" w:type="dxa"/>
                  <w:noWrap w:val="0"/>
                  <w:vAlign w:val="center"/>
                </w:tcPr>
                <w:p>
                  <w:pPr>
                    <w:widowControl/>
                    <w:jc w:val="center"/>
                    <w:rPr>
                      <w:b/>
                      <w:sz w:val="18"/>
                      <w:szCs w:val="18"/>
                    </w:rPr>
                  </w:pPr>
                  <w:r>
                    <w:rPr>
                      <w:b/>
                      <w:sz w:val="18"/>
                      <w:szCs w:val="18"/>
                    </w:rPr>
                    <w:t>污染因子</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31" w:type="dxa"/>
                  <w:noWrap w:val="0"/>
                  <w:vAlign w:val="center"/>
                </w:tcPr>
                <w:p>
                  <w:pPr>
                    <w:widowControl/>
                    <w:jc w:val="center"/>
                    <w:rPr>
                      <w:bCs/>
                      <w:sz w:val="18"/>
                      <w:szCs w:val="18"/>
                    </w:rPr>
                  </w:pPr>
                  <w:r>
                    <w:rPr>
                      <w:bCs/>
                      <w:sz w:val="18"/>
                      <w:szCs w:val="18"/>
                    </w:rPr>
                    <w:t>废水</w:t>
                  </w:r>
                </w:p>
              </w:tc>
              <w:tc>
                <w:tcPr>
                  <w:tcW w:w="2446" w:type="dxa"/>
                  <w:noWrap w:val="0"/>
                  <w:vAlign w:val="center"/>
                </w:tcPr>
                <w:p>
                  <w:pPr>
                    <w:widowControl/>
                    <w:jc w:val="center"/>
                    <w:rPr>
                      <w:bCs/>
                      <w:sz w:val="18"/>
                      <w:szCs w:val="18"/>
                    </w:rPr>
                  </w:pPr>
                  <w:r>
                    <w:rPr>
                      <w:bCs/>
                      <w:sz w:val="18"/>
                      <w:szCs w:val="18"/>
                    </w:rPr>
                    <w:t>办公生活</w:t>
                  </w:r>
                </w:p>
              </w:tc>
              <w:tc>
                <w:tcPr>
                  <w:tcW w:w="1700" w:type="dxa"/>
                  <w:noWrap w:val="0"/>
                  <w:vAlign w:val="center"/>
                </w:tcPr>
                <w:p>
                  <w:pPr>
                    <w:widowControl/>
                    <w:jc w:val="center"/>
                    <w:rPr>
                      <w:bCs/>
                      <w:sz w:val="18"/>
                      <w:szCs w:val="18"/>
                    </w:rPr>
                  </w:pPr>
                  <w:r>
                    <w:rPr>
                      <w:bCs/>
                      <w:sz w:val="18"/>
                      <w:szCs w:val="18"/>
                    </w:rPr>
                    <w:t>生活污水</w:t>
                  </w:r>
                </w:p>
              </w:tc>
              <w:tc>
                <w:tcPr>
                  <w:tcW w:w="2563" w:type="dxa"/>
                  <w:noWrap w:val="0"/>
                  <w:vAlign w:val="center"/>
                </w:tcPr>
                <w:p>
                  <w:pPr>
                    <w:widowControl/>
                    <w:jc w:val="center"/>
                    <w:rPr>
                      <w:bCs/>
                      <w:sz w:val="18"/>
                      <w:szCs w:val="18"/>
                    </w:rPr>
                  </w:pPr>
                  <w:r>
                    <w:rPr>
                      <w:bCs/>
                      <w:sz w:val="18"/>
                      <w:szCs w:val="18"/>
                    </w:rPr>
                    <w:t>COD、NH</w:t>
                  </w:r>
                  <w:r>
                    <w:rPr>
                      <w:bCs/>
                      <w:sz w:val="18"/>
                      <w:szCs w:val="18"/>
                      <w:vertAlign w:val="subscript"/>
                    </w:rPr>
                    <w:t>3</w:t>
                  </w:r>
                  <w:r>
                    <w:rPr>
                      <w:bCs/>
                      <w:sz w:val="18"/>
                      <w:szCs w:val="18"/>
                    </w:rPr>
                    <w:t>-N、TN、TP、SS</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231" w:type="dxa"/>
                  <w:vMerge w:val="restart"/>
                  <w:noWrap w:val="0"/>
                  <w:vAlign w:val="center"/>
                </w:tcPr>
                <w:p>
                  <w:pPr>
                    <w:widowControl/>
                    <w:jc w:val="center"/>
                    <w:rPr>
                      <w:bCs/>
                      <w:sz w:val="18"/>
                      <w:szCs w:val="18"/>
                    </w:rPr>
                  </w:pPr>
                  <w:r>
                    <w:rPr>
                      <w:bCs/>
                      <w:sz w:val="18"/>
                      <w:szCs w:val="18"/>
                    </w:rPr>
                    <w:t>废气</w:t>
                  </w:r>
                </w:p>
              </w:tc>
              <w:tc>
                <w:tcPr>
                  <w:tcW w:w="2446" w:type="dxa"/>
                  <w:noWrap w:val="0"/>
                  <w:vAlign w:val="center"/>
                </w:tcPr>
                <w:p>
                  <w:pPr>
                    <w:widowControl/>
                    <w:jc w:val="center"/>
                    <w:rPr>
                      <w:bCs/>
                      <w:sz w:val="18"/>
                      <w:szCs w:val="18"/>
                    </w:rPr>
                  </w:pPr>
                  <w:r>
                    <w:rPr>
                      <w:bCs/>
                      <w:sz w:val="18"/>
                      <w:szCs w:val="18"/>
                    </w:rPr>
                    <w:t>吹塑</w:t>
                  </w:r>
                </w:p>
              </w:tc>
              <w:tc>
                <w:tcPr>
                  <w:tcW w:w="1700" w:type="dxa"/>
                  <w:noWrap w:val="0"/>
                  <w:vAlign w:val="center"/>
                </w:tcPr>
                <w:p>
                  <w:pPr>
                    <w:widowControl/>
                    <w:jc w:val="center"/>
                    <w:rPr>
                      <w:bCs/>
                      <w:sz w:val="18"/>
                      <w:szCs w:val="18"/>
                    </w:rPr>
                  </w:pPr>
                  <w:r>
                    <w:rPr>
                      <w:bCs/>
                      <w:sz w:val="18"/>
                      <w:szCs w:val="18"/>
                    </w:rPr>
                    <w:t>有机废气G</w:t>
                  </w:r>
                  <w:r>
                    <w:rPr>
                      <w:bCs/>
                      <w:sz w:val="18"/>
                      <w:szCs w:val="18"/>
                      <w:vertAlign w:val="subscript"/>
                    </w:rPr>
                    <w:t>1</w:t>
                  </w:r>
                </w:p>
              </w:tc>
              <w:tc>
                <w:tcPr>
                  <w:tcW w:w="2563" w:type="dxa"/>
                  <w:noWrap w:val="0"/>
                  <w:vAlign w:val="center"/>
                </w:tcPr>
                <w:p>
                  <w:pPr>
                    <w:widowControl/>
                    <w:jc w:val="center"/>
                    <w:rPr>
                      <w:bCs/>
                      <w:sz w:val="18"/>
                      <w:szCs w:val="18"/>
                    </w:rPr>
                  </w:pPr>
                  <w:r>
                    <w:rPr>
                      <w:bCs/>
                      <w:sz w:val="18"/>
                      <w:szCs w:val="18"/>
                    </w:rPr>
                    <w:t>非甲烷总烃</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231" w:type="dxa"/>
                  <w:vMerge w:val="continue"/>
                  <w:noWrap w:val="0"/>
                  <w:vAlign w:val="center"/>
                </w:tcPr>
                <w:p>
                  <w:pPr>
                    <w:widowControl/>
                    <w:jc w:val="center"/>
                    <w:rPr>
                      <w:bCs/>
                      <w:sz w:val="18"/>
                      <w:szCs w:val="18"/>
                    </w:rPr>
                  </w:pPr>
                </w:p>
              </w:tc>
              <w:tc>
                <w:tcPr>
                  <w:tcW w:w="2446" w:type="dxa"/>
                  <w:noWrap w:val="0"/>
                  <w:vAlign w:val="center"/>
                </w:tcPr>
                <w:p>
                  <w:pPr>
                    <w:widowControl/>
                    <w:jc w:val="center"/>
                    <w:rPr>
                      <w:bCs/>
                      <w:sz w:val="18"/>
                      <w:szCs w:val="18"/>
                    </w:rPr>
                  </w:pPr>
                  <w:r>
                    <w:rPr>
                      <w:rFonts w:hint="eastAsia"/>
                      <w:bCs/>
                      <w:sz w:val="18"/>
                      <w:szCs w:val="18"/>
                      <w:lang w:val="en-US" w:eastAsia="zh-CN"/>
                    </w:rPr>
                    <w:t>制袋、烫袋</w:t>
                  </w:r>
                </w:p>
              </w:tc>
              <w:tc>
                <w:tcPr>
                  <w:tcW w:w="1700" w:type="dxa"/>
                  <w:noWrap w:val="0"/>
                  <w:vAlign w:val="center"/>
                </w:tcPr>
                <w:p>
                  <w:pPr>
                    <w:widowControl/>
                    <w:jc w:val="center"/>
                    <w:rPr>
                      <w:bCs/>
                      <w:sz w:val="18"/>
                      <w:szCs w:val="18"/>
                    </w:rPr>
                  </w:pPr>
                  <w:r>
                    <w:rPr>
                      <w:bCs/>
                      <w:sz w:val="18"/>
                      <w:szCs w:val="18"/>
                    </w:rPr>
                    <w:t>有机废气G</w:t>
                  </w:r>
                  <w:r>
                    <w:rPr>
                      <w:bCs/>
                      <w:sz w:val="18"/>
                      <w:szCs w:val="18"/>
                      <w:vertAlign w:val="subscript"/>
                    </w:rPr>
                    <w:t>2</w:t>
                  </w:r>
                </w:p>
              </w:tc>
              <w:tc>
                <w:tcPr>
                  <w:tcW w:w="2563" w:type="dxa"/>
                  <w:noWrap w:val="0"/>
                  <w:vAlign w:val="center"/>
                </w:tcPr>
                <w:p>
                  <w:pPr>
                    <w:widowControl/>
                    <w:jc w:val="center"/>
                    <w:rPr>
                      <w:bCs/>
                      <w:sz w:val="18"/>
                      <w:szCs w:val="18"/>
                    </w:rPr>
                  </w:pPr>
                  <w:r>
                    <w:rPr>
                      <w:bCs/>
                      <w:sz w:val="18"/>
                      <w:szCs w:val="18"/>
                    </w:rPr>
                    <w:t>非甲烷总烃</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231" w:type="dxa"/>
                  <w:noWrap w:val="0"/>
                  <w:vAlign w:val="center"/>
                </w:tcPr>
                <w:p>
                  <w:pPr>
                    <w:widowControl/>
                    <w:jc w:val="center"/>
                    <w:rPr>
                      <w:bCs/>
                      <w:sz w:val="18"/>
                      <w:szCs w:val="18"/>
                    </w:rPr>
                  </w:pPr>
                  <w:r>
                    <w:rPr>
                      <w:bCs/>
                      <w:sz w:val="18"/>
                      <w:szCs w:val="18"/>
                    </w:rPr>
                    <w:t>噪声</w:t>
                  </w:r>
                </w:p>
              </w:tc>
              <w:tc>
                <w:tcPr>
                  <w:tcW w:w="2446" w:type="dxa"/>
                  <w:noWrap w:val="0"/>
                  <w:vAlign w:val="center"/>
                </w:tcPr>
                <w:p>
                  <w:pPr>
                    <w:widowControl/>
                    <w:jc w:val="center"/>
                    <w:rPr>
                      <w:bCs/>
                      <w:sz w:val="18"/>
                      <w:szCs w:val="18"/>
                    </w:rPr>
                  </w:pPr>
                  <w:r>
                    <w:rPr>
                      <w:bCs/>
                      <w:sz w:val="18"/>
                      <w:szCs w:val="18"/>
                    </w:rPr>
                    <w:t>机械设备</w:t>
                  </w:r>
                </w:p>
              </w:tc>
              <w:tc>
                <w:tcPr>
                  <w:tcW w:w="4263" w:type="dxa"/>
                  <w:gridSpan w:val="2"/>
                  <w:noWrap w:val="0"/>
                  <w:vAlign w:val="center"/>
                </w:tcPr>
                <w:p>
                  <w:pPr>
                    <w:widowControl/>
                    <w:jc w:val="center"/>
                    <w:rPr>
                      <w:bCs/>
                      <w:sz w:val="18"/>
                      <w:szCs w:val="18"/>
                    </w:rPr>
                  </w:pPr>
                  <w:r>
                    <w:rPr>
                      <w:bCs/>
                      <w:sz w:val="18"/>
                      <w:szCs w:val="18"/>
                    </w:rPr>
                    <w:t>噪声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31" w:type="dxa"/>
                  <w:vMerge w:val="restart"/>
                  <w:noWrap w:val="0"/>
                  <w:vAlign w:val="center"/>
                </w:tcPr>
                <w:p>
                  <w:pPr>
                    <w:widowControl/>
                    <w:jc w:val="center"/>
                    <w:rPr>
                      <w:bCs/>
                      <w:sz w:val="18"/>
                      <w:szCs w:val="18"/>
                    </w:rPr>
                  </w:pPr>
                  <w:r>
                    <w:rPr>
                      <w:bCs/>
                      <w:sz w:val="18"/>
                      <w:szCs w:val="18"/>
                    </w:rPr>
                    <w:t>固废</w:t>
                  </w:r>
                </w:p>
              </w:tc>
              <w:tc>
                <w:tcPr>
                  <w:tcW w:w="2446" w:type="dxa"/>
                  <w:noWrap w:val="0"/>
                  <w:vAlign w:val="center"/>
                </w:tcPr>
                <w:p>
                  <w:pPr>
                    <w:widowControl/>
                    <w:jc w:val="center"/>
                    <w:rPr>
                      <w:rFonts w:hint="eastAsia" w:eastAsia="宋体"/>
                      <w:bCs/>
                      <w:sz w:val="18"/>
                      <w:szCs w:val="18"/>
                      <w:lang w:val="en-US" w:eastAsia="zh-CN"/>
                    </w:rPr>
                  </w:pPr>
                  <w:r>
                    <w:rPr>
                      <w:rFonts w:hint="eastAsia"/>
                      <w:bCs/>
                      <w:sz w:val="18"/>
                      <w:szCs w:val="18"/>
                      <w:lang w:val="en-US" w:eastAsia="zh-CN"/>
                    </w:rPr>
                    <w:t>装袋</w:t>
                  </w:r>
                </w:p>
              </w:tc>
              <w:tc>
                <w:tcPr>
                  <w:tcW w:w="4263" w:type="dxa"/>
                  <w:gridSpan w:val="2"/>
                  <w:noWrap w:val="0"/>
                  <w:vAlign w:val="center"/>
                </w:tcPr>
                <w:p>
                  <w:pPr>
                    <w:widowControl/>
                    <w:jc w:val="center"/>
                    <w:rPr>
                      <w:bCs/>
                      <w:sz w:val="18"/>
                      <w:szCs w:val="18"/>
                    </w:rPr>
                  </w:pPr>
                  <w:r>
                    <w:rPr>
                      <w:rFonts w:hint="eastAsia"/>
                      <w:bCs/>
                      <w:sz w:val="18"/>
                      <w:szCs w:val="18"/>
                      <w:lang w:val="en-US" w:eastAsia="zh-CN"/>
                    </w:rPr>
                    <w:t>边角料</w:t>
                  </w:r>
                  <w:r>
                    <w:rPr>
                      <w:bCs/>
                      <w:sz w:val="18"/>
                      <w:szCs w:val="18"/>
                    </w:rPr>
                    <w:t>S</w:t>
                  </w:r>
                  <w:r>
                    <w:rPr>
                      <w:bCs/>
                      <w:sz w:val="18"/>
                      <w:szCs w:val="18"/>
                      <w:vertAlign w:val="subscript"/>
                    </w:rPr>
                    <w:t>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31" w:type="dxa"/>
                  <w:vMerge w:val="continue"/>
                  <w:noWrap w:val="0"/>
                  <w:vAlign w:val="center"/>
                </w:tcPr>
                <w:p>
                  <w:pPr>
                    <w:widowControl/>
                    <w:jc w:val="center"/>
                    <w:rPr>
                      <w:bCs/>
                      <w:sz w:val="18"/>
                      <w:szCs w:val="18"/>
                    </w:rPr>
                  </w:pPr>
                </w:p>
              </w:tc>
              <w:tc>
                <w:tcPr>
                  <w:tcW w:w="2446" w:type="dxa"/>
                  <w:noWrap w:val="0"/>
                  <w:vAlign w:val="center"/>
                </w:tcPr>
                <w:p>
                  <w:pPr>
                    <w:widowControl/>
                    <w:jc w:val="center"/>
                    <w:rPr>
                      <w:rFonts w:hint="eastAsia" w:eastAsia="宋体"/>
                      <w:bCs/>
                      <w:sz w:val="18"/>
                      <w:szCs w:val="18"/>
                      <w:lang w:eastAsia="zh-CN"/>
                    </w:rPr>
                  </w:pPr>
                  <w:r>
                    <w:rPr>
                      <w:rFonts w:hint="eastAsia"/>
                      <w:bCs/>
                      <w:sz w:val="18"/>
                      <w:szCs w:val="18"/>
                      <w:lang w:val="en-US" w:eastAsia="zh-CN"/>
                    </w:rPr>
                    <w:t>制袋、烫袋</w:t>
                  </w:r>
                </w:p>
              </w:tc>
              <w:tc>
                <w:tcPr>
                  <w:tcW w:w="4263" w:type="dxa"/>
                  <w:gridSpan w:val="2"/>
                  <w:noWrap w:val="0"/>
                  <w:vAlign w:val="center"/>
                </w:tcPr>
                <w:p>
                  <w:pPr>
                    <w:widowControl/>
                    <w:jc w:val="center"/>
                    <w:rPr>
                      <w:bCs/>
                      <w:sz w:val="18"/>
                      <w:szCs w:val="18"/>
                    </w:rPr>
                  </w:pPr>
                  <w:r>
                    <w:rPr>
                      <w:bCs/>
                      <w:sz w:val="18"/>
                      <w:szCs w:val="18"/>
                    </w:rPr>
                    <w:t>不合格品S</w:t>
                  </w:r>
                  <w:r>
                    <w:rPr>
                      <w:rFonts w:hint="eastAsia"/>
                      <w:bCs/>
                      <w:sz w:val="18"/>
                      <w:szCs w:val="18"/>
                      <w:vertAlign w:val="subscript"/>
                      <w:lang w:val="en-US" w:eastAsia="zh-CN"/>
                    </w:rPr>
                    <w:t>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31" w:type="dxa"/>
                  <w:vMerge w:val="continue"/>
                  <w:noWrap w:val="0"/>
                  <w:vAlign w:val="center"/>
                </w:tcPr>
                <w:p>
                  <w:pPr>
                    <w:widowControl/>
                    <w:jc w:val="center"/>
                    <w:rPr>
                      <w:bCs/>
                      <w:sz w:val="18"/>
                      <w:szCs w:val="18"/>
                    </w:rPr>
                  </w:pPr>
                </w:p>
              </w:tc>
              <w:tc>
                <w:tcPr>
                  <w:tcW w:w="2446" w:type="dxa"/>
                  <w:noWrap w:val="0"/>
                  <w:vAlign w:val="center"/>
                </w:tcPr>
                <w:p>
                  <w:pPr>
                    <w:widowControl/>
                    <w:jc w:val="center"/>
                    <w:rPr>
                      <w:bCs/>
                      <w:sz w:val="18"/>
                      <w:szCs w:val="18"/>
                    </w:rPr>
                  </w:pPr>
                  <w:r>
                    <w:rPr>
                      <w:bCs/>
                      <w:sz w:val="18"/>
                      <w:szCs w:val="18"/>
                    </w:rPr>
                    <w:t>废气处理</w:t>
                  </w:r>
                </w:p>
              </w:tc>
              <w:tc>
                <w:tcPr>
                  <w:tcW w:w="4263" w:type="dxa"/>
                  <w:gridSpan w:val="2"/>
                  <w:noWrap w:val="0"/>
                  <w:vAlign w:val="center"/>
                </w:tcPr>
                <w:p>
                  <w:pPr>
                    <w:widowControl/>
                    <w:jc w:val="center"/>
                    <w:rPr>
                      <w:bCs/>
                      <w:sz w:val="18"/>
                      <w:szCs w:val="18"/>
                    </w:rPr>
                  </w:pPr>
                  <w:r>
                    <w:rPr>
                      <w:bCs/>
                      <w:sz w:val="18"/>
                      <w:szCs w:val="18"/>
                    </w:rPr>
                    <w:t>废活性炭S</w:t>
                  </w:r>
                  <w:r>
                    <w:rPr>
                      <w:rFonts w:hint="eastAsia"/>
                      <w:bCs/>
                      <w:sz w:val="18"/>
                      <w:szCs w:val="18"/>
                      <w:vertAlign w:val="subscript"/>
                      <w:lang w:val="en-US" w:eastAsia="zh-CN"/>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31" w:type="dxa"/>
                  <w:vMerge w:val="continue"/>
                  <w:noWrap w:val="0"/>
                  <w:vAlign w:val="center"/>
                </w:tcPr>
                <w:p>
                  <w:pPr>
                    <w:widowControl/>
                    <w:jc w:val="center"/>
                    <w:rPr>
                      <w:bCs/>
                      <w:sz w:val="18"/>
                      <w:szCs w:val="18"/>
                    </w:rPr>
                  </w:pPr>
                </w:p>
              </w:tc>
              <w:tc>
                <w:tcPr>
                  <w:tcW w:w="2446" w:type="dxa"/>
                  <w:noWrap w:val="0"/>
                  <w:vAlign w:val="center"/>
                </w:tcPr>
                <w:p>
                  <w:pPr>
                    <w:widowControl/>
                    <w:jc w:val="center"/>
                    <w:rPr>
                      <w:bCs/>
                      <w:sz w:val="18"/>
                      <w:szCs w:val="18"/>
                    </w:rPr>
                  </w:pPr>
                  <w:r>
                    <w:rPr>
                      <w:bCs/>
                      <w:sz w:val="18"/>
                      <w:szCs w:val="18"/>
                    </w:rPr>
                    <w:t>原辅材料拆包</w:t>
                  </w:r>
                </w:p>
              </w:tc>
              <w:tc>
                <w:tcPr>
                  <w:tcW w:w="4263" w:type="dxa"/>
                  <w:gridSpan w:val="2"/>
                  <w:noWrap w:val="0"/>
                  <w:vAlign w:val="center"/>
                </w:tcPr>
                <w:p>
                  <w:pPr>
                    <w:widowControl/>
                    <w:jc w:val="center"/>
                    <w:rPr>
                      <w:bCs/>
                      <w:sz w:val="18"/>
                      <w:szCs w:val="18"/>
                    </w:rPr>
                  </w:pPr>
                  <w:r>
                    <w:rPr>
                      <w:bCs/>
                      <w:sz w:val="18"/>
                      <w:szCs w:val="18"/>
                    </w:rPr>
                    <w:t>废包装材料S</w:t>
                  </w:r>
                  <w:r>
                    <w:rPr>
                      <w:rFonts w:hint="eastAsia"/>
                      <w:bCs/>
                      <w:sz w:val="18"/>
                      <w:szCs w:val="18"/>
                      <w:vertAlign w:val="subscript"/>
                      <w:lang w:val="en-US" w:eastAsia="zh-CN"/>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231" w:type="dxa"/>
                  <w:vMerge w:val="continue"/>
                  <w:noWrap w:val="0"/>
                  <w:vAlign w:val="center"/>
                </w:tcPr>
                <w:p>
                  <w:pPr>
                    <w:widowControl/>
                    <w:jc w:val="center"/>
                    <w:rPr>
                      <w:bCs/>
                      <w:sz w:val="18"/>
                      <w:szCs w:val="18"/>
                    </w:rPr>
                  </w:pPr>
                </w:p>
              </w:tc>
              <w:tc>
                <w:tcPr>
                  <w:tcW w:w="2446" w:type="dxa"/>
                  <w:noWrap w:val="0"/>
                  <w:vAlign w:val="center"/>
                </w:tcPr>
                <w:p>
                  <w:pPr>
                    <w:widowControl/>
                    <w:jc w:val="center"/>
                    <w:rPr>
                      <w:bCs/>
                      <w:sz w:val="18"/>
                      <w:szCs w:val="18"/>
                    </w:rPr>
                  </w:pPr>
                  <w:r>
                    <w:rPr>
                      <w:bCs/>
                      <w:sz w:val="18"/>
                      <w:szCs w:val="18"/>
                    </w:rPr>
                    <w:t>办公生活</w:t>
                  </w:r>
                </w:p>
              </w:tc>
              <w:tc>
                <w:tcPr>
                  <w:tcW w:w="4263" w:type="dxa"/>
                  <w:gridSpan w:val="2"/>
                  <w:noWrap w:val="0"/>
                  <w:vAlign w:val="center"/>
                </w:tcPr>
                <w:p>
                  <w:pPr>
                    <w:widowControl/>
                    <w:jc w:val="center"/>
                    <w:rPr>
                      <w:bCs/>
                      <w:sz w:val="18"/>
                      <w:szCs w:val="18"/>
                    </w:rPr>
                  </w:pPr>
                  <w:r>
                    <w:rPr>
                      <w:bCs/>
                      <w:sz w:val="18"/>
                      <w:szCs w:val="18"/>
                    </w:rPr>
                    <w:t>生活垃圾</w:t>
                  </w:r>
                </w:p>
              </w:tc>
            </w:tr>
          </w:tbl>
          <w:p>
            <w:pPr>
              <w:pStyle w:val="17"/>
              <w:jc w:val="both"/>
              <w:outlineLvl w:val="0"/>
              <w:rPr>
                <w:rFonts w:ascii="Times New Roman" w:hAnsi="Times New Roman"/>
                <w:snapToGrid w:val="0"/>
                <w:sz w:val="21"/>
                <w:szCs w:val="21"/>
              </w:rPr>
            </w:pPr>
          </w:p>
        </w:tc>
      </w:tr>
    </w:tbl>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1"/>
        <w:tblW w:w="89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kern w:val="0"/>
                <w:szCs w:val="21"/>
              </w:rPr>
            </w:pPr>
            <w:r>
              <w:rPr>
                <w:kern w:val="0"/>
                <w:szCs w:val="21"/>
              </w:rPr>
              <w:t>区域</w:t>
            </w:r>
          </w:p>
          <w:p>
            <w:pPr>
              <w:adjustRightInd w:val="0"/>
              <w:snapToGrid w:val="0"/>
              <w:jc w:val="center"/>
              <w:rPr>
                <w:kern w:val="0"/>
                <w:szCs w:val="21"/>
              </w:rPr>
            </w:pPr>
            <w:r>
              <w:rPr>
                <w:kern w:val="0"/>
                <w:szCs w:val="21"/>
              </w:rPr>
              <w:t>环境</w:t>
            </w:r>
          </w:p>
          <w:p>
            <w:pPr>
              <w:adjustRightInd w:val="0"/>
              <w:snapToGrid w:val="0"/>
              <w:jc w:val="center"/>
              <w:rPr>
                <w:kern w:val="0"/>
                <w:szCs w:val="21"/>
              </w:rPr>
            </w:pPr>
            <w:r>
              <w:rPr>
                <w:kern w:val="0"/>
                <w:szCs w:val="21"/>
              </w:rPr>
              <w:t>质量</w:t>
            </w:r>
          </w:p>
          <w:p>
            <w:pPr>
              <w:adjustRightInd w:val="0"/>
              <w:snapToGrid w:val="0"/>
              <w:jc w:val="center"/>
              <w:rPr>
                <w:kern w:val="0"/>
                <w:szCs w:val="21"/>
              </w:rPr>
            </w:pPr>
            <w:r>
              <w:rPr>
                <w:kern w:val="0"/>
                <w:szCs w:val="21"/>
              </w:rPr>
              <w:t>现状</w:t>
            </w:r>
          </w:p>
        </w:tc>
        <w:tc>
          <w:tcPr>
            <w:tcW w:w="8190" w:type="dxa"/>
            <w:vAlign w:val="center"/>
          </w:tcPr>
          <w:p>
            <w:pPr>
              <w:spacing w:line="400" w:lineRule="exact"/>
              <w:ind w:firstLine="422" w:firstLineChars="200"/>
              <w:rPr>
                <w:b/>
                <w:bCs/>
              </w:rPr>
            </w:pPr>
            <w:r>
              <w:rPr>
                <w:b/>
                <w:bCs/>
              </w:rPr>
              <w:t>一、区域环境质量现状</w:t>
            </w:r>
          </w:p>
          <w:p>
            <w:pPr>
              <w:numPr>
                <w:ilvl w:val="0"/>
                <w:numId w:val="5"/>
              </w:numPr>
              <w:spacing w:line="400" w:lineRule="exact"/>
              <w:ind w:firstLine="420" w:firstLineChars="200"/>
            </w:pPr>
            <w:r>
              <w:t>地表水环境质量现状</w:t>
            </w:r>
          </w:p>
          <w:p>
            <w:pPr>
              <w:spacing w:line="400" w:lineRule="exact"/>
              <w:ind w:firstLine="420" w:firstLineChars="200"/>
            </w:pPr>
            <w:r>
              <w:t>（1）区域水环境状况</w:t>
            </w:r>
          </w:p>
          <w:p>
            <w:pPr>
              <w:widowControl/>
              <w:spacing w:line="480" w:lineRule="exact"/>
              <w:ind w:firstLine="420" w:firstLineChars="200"/>
              <w:jc w:val="left"/>
              <w:rPr>
                <w:rFonts w:hint="eastAsia" w:ascii="Times New Roman" w:hAnsi="Times New Roman"/>
              </w:rPr>
            </w:pPr>
            <w:r>
              <w:rPr>
                <w:rFonts w:hint="eastAsia" w:ascii="Times New Roman" w:hAnsi="Times New Roman"/>
              </w:rPr>
              <w:t>根据《202</w:t>
            </w:r>
            <w:r>
              <w:rPr>
                <w:rFonts w:hint="eastAsia" w:ascii="Times New Roman" w:hAnsi="Times New Roman"/>
                <w:lang w:val="en-US" w:eastAsia="zh-CN"/>
              </w:rPr>
              <w:t>3</w:t>
            </w:r>
            <w:r>
              <w:rPr>
                <w:rFonts w:hint="eastAsia" w:ascii="Times New Roman" w:hAnsi="Times New Roman"/>
              </w:rPr>
              <w:t>年常州市生态环境状况公报》，2023年，常州市国考、省考断面水质达到或好于Ⅲ类比例超额完成省定考核要求，太湖常州水域连续16年实现安全度夏。长江干流（常州段）水质连续6年稳定Ⅱ类水平，主要入湖河道、集中式饮用水源地水质达到省定考核目标。</w:t>
            </w:r>
          </w:p>
          <w:p>
            <w:pPr>
              <w:widowControl/>
              <w:spacing w:line="480" w:lineRule="exact"/>
              <w:ind w:firstLine="420" w:firstLineChars="200"/>
              <w:jc w:val="left"/>
              <w:rPr>
                <w:rFonts w:hint="eastAsia" w:ascii="Times New Roman" w:hAnsi="Times New Roman"/>
              </w:rPr>
            </w:pPr>
            <w:r>
              <w:rPr>
                <w:rFonts w:hint="eastAsia" w:ascii="Times New Roman" w:hAnsi="Times New Roman"/>
              </w:rPr>
              <w:t>①省国考断面：2023年，常州市纳入“十四五”国家地表水环境质量考核的20个断面，年均水质达到或好于《地表水环境质量标准》（GB 3838—2002）Ⅲ类标准的断面比例为85%（年度考核目标80%），无劣Ⅴ类断面。纳入江苏省“十四五”水环境质量目标考核的51个断面，年均水质达到或好于Ⅲ类的比例为94.1%（年度考核目标92.2%），无劣Ⅴ类断面。</w:t>
            </w:r>
          </w:p>
          <w:p>
            <w:pPr>
              <w:widowControl/>
              <w:spacing w:line="480" w:lineRule="exact"/>
              <w:ind w:firstLine="420" w:firstLineChars="200"/>
              <w:jc w:val="left"/>
              <w:rPr>
                <w:rFonts w:ascii="Times New Roman" w:hAnsi="Times New Roman"/>
              </w:rPr>
            </w:pPr>
            <w:r>
              <w:rPr>
                <w:rFonts w:hint="eastAsia" w:ascii="Times New Roman" w:hAnsi="Times New Roman"/>
              </w:rPr>
              <w:t>②太湖及入太河流：2023年，我市太湖湖心区断面自太湖治理以来首次达到地表水湖库Ⅲ类标准，其中总磷0.05mg/L，同比下降21.9%，高锰酸盐指数和氨氮分别达到Ⅱ类和Ⅰ类标准。太湖西部区断面总磷0.074mg/L，同比下降16.9%，高锰酸盐指数和氨氮分别达到Ⅱ类和Ⅰ类标准。武进港、漕桥河、太滆运河等3条主要入湖河道氮磷达到省定约束性考核目标</w:t>
            </w:r>
            <w:r>
              <w:rPr>
                <w:rFonts w:ascii="Times New Roman" w:hAnsi="Times New Roman"/>
              </w:rPr>
              <w:t>。</w:t>
            </w:r>
          </w:p>
          <w:p>
            <w:pPr>
              <w:widowControl/>
              <w:spacing w:line="480" w:lineRule="exact"/>
              <w:ind w:firstLine="420" w:firstLineChars="200"/>
              <w:jc w:val="left"/>
              <w:rPr>
                <w:rFonts w:ascii="Times New Roman" w:hAnsi="Times New Roman"/>
              </w:rPr>
            </w:pPr>
            <w:r>
              <w:rPr>
                <w:rFonts w:ascii="Times New Roman" w:hAnsi="Times New Roman"/>
              </w:rPr>
              <w:t>③长江流域：2023年，长江干流魏村（右岸）断面水质连续六年达到Ⅱ类；新孟河、德胜河、澡港河等3条主要通江支流上5个国省考断面年均水质均达到或优于Ⅲ类。</w:t>
            </w:r>
          </w:p>
          <w:p>
            <w:pPr>
              <w:widowControl/>
              <w:spacing w:line="480" w:lineRule="exact"/>
              <w:ind w:firstLine="420" w:firstLineChars="200"/>
              <w:jc w:val="left"/>
              <w:rPr>
                <w:rFonts w:hint="eastAsia" w:ascii="Times New Roman" w:hAnsi="Times New Roman"/>
              </w:rPr>
            </w:pPr>
            <w:r>
              <w:rPr>
                <w:rFonts w:ascii="Times New Roman" w:hAnsi="Times New Roman"/>
              </w:rPr>
              <w:t>④京杭大运河常州段：2023年，京杭大运河（常州段）沿线五牧、连江桥下、戚墅堰等3个国省考断面年均水质均达到或好于Ⅲ类</w:t>
            </w:r>
            <w:r>
              <w:rPr>
                <w:rFonts w:hint="eastAsia" w:ascii="Times New Roman" w:hAnsi="Times New Roman"/>
              </w:rPr>
              <w:t>。</w:t>
            </w:r>
          </w:p>
          <w:p>
            <w:pPr>
              <w:spacing w:line="400" w:lineRule="exact"/>
              <w:ind w:firstLine="420" w:firstLineChars="200"/>
            </w:pPr>
            <w:r>
              <w:t>（2）纳污水体环境质量现状</w:t>
            </w:r>
          </w:p>
          <w:p>
            <w:pPr>
              <w:spacing w:line="400" w:lineRule="exact"/>
              <w:ind w:firstLine="420" w:firstLineChars="200"/>
            </w:pPr>
            <w:r>
              <w:t>本项目所在地属</w:t>
            </w:r>
            <w:r>
              <w:rPr>
                <w:sz w:val="21"/>
              </w:rPr>
              <w:t>常州市武南污水处理厂</w:t>
            </w:r>
            <w:r>
              <w:t>污水收集系统服务范围内，</w:t>
            </w:r>
            <w:r>
              <w:rPr>
                <w:sz w:val="21"/>
              </w:rPr>
              <w:t>武南污水处理厂</w:t>
            </w:r>
            <w:r>
              <w:t>尾水排放到武南河。武南河地表水环境质量现状监测数据引用南京爱迪信环境技术有限公司于2022年</w:t>
            </w:r>
            <w:r>
              <w:rPr>
                <w:rFonts w:hint="eastAsia"/>
                <w:lang w:val="en-US" w:eastAsia="zh-CN"/>
              </w:rPr>
              <w:t>4</w:t>
            </w:r>
            <w:r>
              <w:t>月</w:t>
            </w:r>
            <w:r>
              <w:rPr>
                <w:rFonts w:hint="eastAsia"/>
                <w:lang w:val="en-US" w:eastAsia="zh-CN"/>
              </w:rPr>
              <w:t>18</w:t>
            </w:r>
            <w:r>
              <w:t>日至2022年</w:t>
            </w:r>
            <w:r>
              <w:rPr>
                <w:rFonts w:hint="eastAsia"/>
                <w:lang w:val="en-US" w:eastAsia="zh-CN"/>
              </w:rPr>
              <w:t>4</w:t>
            </w:r>
            <w:r>
              <w:t>月</w:t>
            </w:r>
            <w:r>
              <w:rPr>
                <w:rFonts w:hint="eastAsia"/>
                <w:lang w:val="en-US" w:eastAsia="zh-CN"/>
              </w:rPr>
              <w:t>20</w:t>
            </w:r>
            <w:r>
              <w:t>日在</w:t>
            </w:r>
            <w:r>
              <w:rPr>
                <w:sz w:val="21"/>
              </w:rPr>
              <w:t>武南污水处理厂</w:t>
            </w:r>
            <w:r>
              <w:t>排放口上游500m处和</w:t>
            </w:r>
            <w:r>
              <w:rPr>
                <w:rFonts w:hint="eastAsia"/>
                <w:lang w:eastAsia="zh-CN"/>
              </w:rPr>
              <w:t>武南</w:t>
            </w:r>
            <w:r>
              <w:t>污水处理厂排放口下游1</w:t>
            </w:r>
            <w:r>
              <w:rPr>
                <w:rFonts w:hint="eastAsia"/>
                <w:lang w:val="en-US" w:eastAsia="zh-CN"/>
              </w:rPr>
              <w:t>5</w:t>
            </w:r>
            <w:r>
              <w:t>00m处的监测数据，引用报告编号：NJADT2203007001。监测结果统计如下，引用结果汇总表见表3-</w:t>
            </w:r>
            <w:r>
              <w:rPr>
                <w:rFonts w:hint="eastAsia"/>
                <w:lang w:val="en-US" w:eastAsia="zh-CN"/>
              </w:rPr>
              <w:t>1</w:t>
            </w:r>
            <w:r>
              <w:t>。</w:t>
            </w:r>
          </w:p>
          <w:p>
            <w:pPr>
              <w:spacing w:line="400" w:lineRule="exact"/>
              <w:jc w:val="center"/>
              <w:rPr>
                <w:b/>
                <w:bCs/>
              </w:rPr>
            </w:pPr>
            <w:bookmarkStart w:id="2" w:name="_Toc97452984"/>
            <w:bookmarkStart w:id="3" w:name="_Toc79226209"/>
            <w:bookmarkStart w:id="4" w:name="_Toc69122026"/>
            <w:bookmarkStart w:id="5" w:name="_Toc155344038"/>
            <w:bookmarkStart w:id="6" w:name="_Toc79898984"/>
            <w:bookmarkStart w:id="7" w:name="_Toc119742973"/>
            <w:bookmarkStart w:id="8" w:name="_Toc40783200"/>
            <w:bookmarkStart w:id="9" w:name="_Toc79891785"/>
            <w:bookmarkStart w:id="10" w:name="_Toc132616416"/>
            <w:bookmarkStart w:id="11" w:name="_Toc46915910"/>
          </w:p>
          <w:p>
            <w:pPr>
              <w:spacing w:line="400" w:lineRule="exact"/>
              <w:jc w:val="center"/>
              <w:rPr>
                <w:b/>
                <w:bCs/>
              </w:rPr>
            </w:pPr>
            <w:r>
              <w:rPr>
                <w:b/>
                <w:bCs/>
              </w:rPr>
              <w:t>表3-1  地表水环境质量现状引用断面</w:t>
            </w:r>
          </w:p>
          <w:tbl>
            <w:tblPr>
              <w:tblStyle w:val="22"/>
              <w:tblW w:w="797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68"/>
              <w:gridCol w:w="1609"/>
              <w:gridCol w:w="873"/>
              <w:gridCol w:w="777"/>
              <w:gridCol w:w="1309"/>
              <w:gridCol w:w="11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05" w:type="dxa"/>
                  <w:tcBorders>
                    <w:tl2br w:val="nil"/>
                    <w:tr2bl w:val="nil"/>
                  </w:tcBorders>
                  <w:vAlign w:val="center"/>
                </w:tcPr>
                <w:p>
                  <w:pPr>
                    <w:spacing w:line="400" w:lineRule="exact"/>
                    <w:jc w:val="center"/>
                    <w:rPr>
                      <w:rFonts w:hint="eastAsia"/>
                    </w:rPr>
                  </w:pPr>
                  <w:r>
                    <w:rPr>
                      <w:rFonts w:hint="eastAsia"/>
                    </w:rPr>
                    <w:t>河流</w:t>
                  </w:r>
                </w:p>
                <w:p>
                  <w:pPr>
                    <w:spacing w:line="400" w:lineRule="exact"/>
                    <w:jc w:val="center"/>
                  </w:pPr>
                  <w:r>
                    <w:rPr>
                      <w:rFonts w:hint="eastAsia"/>
                    </w:rPr>
                    <w:t>名称</w:t>
                  </w:r>
                </w:p>
              </w:tc>
              <w:tc>
                <w:tcPr>
                  <w:tcW w:w="1568" w:type="dxa"/>
                  <w:tcBorders>
                    <w:tl2br w:val="nil"/>
                    <w:tr2bl w:val="nil"/>
                  </w:tcBorders>
                  <w:vAlign w:val="center"/>
                </w:tcPr>
                <w:p>
                  <w:pPr>
                    <w:spacing w:line="400" w:lineRule="exact"/>
                    <w:jc w:val="center"/>
                  </w:pPr>
                  <w:r>
                    <w:rPr>
                      <w:rFonts w:hint="eastAsia"/>
                    </w:rPr>
                    <w:t>监测断面</w:t>
                  </w:r>
                </w:p>
              </w:tc>
              <w:tc>
                <w:tcPr>
                  <w:tcW w:w="1609" w:type="dxa"/>
                  <w:tcBorders>
                    <w:tl2br w:val="nil"/>
                    <w:tr2bl w:val="nil"/>
                  </w:tcBorders>
                  <w:vAlign w:val="center"/>
                </w:tcPr>
                <w:p>
                  <w:pPr>
                    <w:spacing w:line="400" w:lineRule="exact"/>
                    <w:jc w:val="center"/>
                  </w:pPr>
                  <w:r>
                    <w:rPr>
                      <w:rFonts w:hint="eastAsia"/>
                    </w:rPr>
                    <w:t>项目</w:t>
                  </w:r>
                </w:p>
              </w:tc>
              <w:tc>
                <w:tcPr>
                  <w:tcW w:w="873" w:type="dxa"/>
                  <w:tcBorders>
                    <w:tl2br w:val="nil"/>
                    <w:tr2bl w:val="nil"/>
                  </w:tcBorders>
                  <w:vAlign w:val="center"/>
                </w:tcPr>
                <w:p>
                  <w:pPr>
                    <w:spacing w:line="400" w:lineRule="exact"/>
                    <w:jc w:val="center"/>
                  </w:pPr>
                  <w:r>
                    <w:rPr>
                      <w:rFonts w:hint="eastAsia"/>
                    </w:rPr>
                    <w:t>pH值</w:t>
                  </w:r>
                </w:p>
              </w:tc>
              <w:tc>
                <w:tcPr>
                  <w:tcW w:w="777" w:type="dxa"/>
                  <w:tcBorders>
                    <w:tl2br w:val="nil"/>
                    <w:tr2bl w:val="nil"/>
                  </w:tcBorders>
                  <w:vAlign w:val="center"/>
                </w:tcPr>
                <w:p>
                  <w:pPr>
                    <w:spacing w:line="400" w:lineRule="exact"/>
                    <w:jc w:val="center"/>
                  </w:pPr>
                  <w:r>
                    <w:rPr>
                      <w:rFonts w:hint="eastAsia"/>
                    </w:rPr>
                    <w:t>COD</w:t>
                  </w:r>
                </w:p>
              </w:tc>
              <w:tc>
                <w:tcPr>
                  <w:tcW w:w="1309" w:type="dxa"/>
                  <w:tcBorders>
                    <w:tl2br w:val="nil"/>
                    <w:tr2bl w:val="nil"/>
                  </w:tcBorders>
                  <w:vAlign w:val="center"/>
                </w:tcPr>
                <w:p>
                  <w:pPr>
                    <w:spacing w:line="400" w:lineRule="exact"/>
                    <w:jc w:val="center"/>
                  </w:pPr>
                  <w:r>
                    <w:rPr>
                      <w:rFonts w:hint="eastAsia"/>
                    </w:rPr>
                    <w:t>氨氮</w:t>
                  </w:r>
                </w:p>
              </w:tc>
              <w:tc>
                <w:tcPr>
                  <w:tcW w:w="1133" w:type="dxa"/>
                  <w:tcBorders>
                    <w:tl2br w:val="nil"/>
                    <w:tr2bl w:val="nil"/>
                  </w:tcBorders>
                  <w:vAlign w:val="center"/>
                </w:tcPr>
                <w:p>
                  <w:pPr>
                    <w:spacing w:line="400" w:lineRule="exact"/>
                    <w:jc w:val="center"/>
                  </w:pPr>
                  <w:r>
                    <w:rPr>
                      <w:rFonts w:hint="eastAsia"/>
                    </w:rPr>
                    <w:t>总磷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05" w:type="dxa"/>
                  <w:vMerge w:val="restart"/>
                  <w:tcBorders>
                    <w:tl2br w:val="nil"/>
                    <w:tr2bl w:val="nil"/>
                  </w:tcBorders>
                  <w:vAlign w:val="center"/>
                </w:tcPr>
                <w:p>
                  <w:pPr>
                    <w:spacing w:line="400" w:lineRule="exact"/>
                    <w:jc w:val="center"/>
                  </w:pPr>
                  <w:r>
                    <w:t>武南河</w:t>
                  </w:r>
                </w:p>
              </w:tc>
              <w:tc>
                <w:tcPr>
                  <w:tcW w:w="1568" w:type="dxa"/>
                  <w:vMerge w:val="restart"/>
                  <w:tcBorders>
                    <w:tl2br w:val="nil"/>
                    <w:tr2bl w:val="nil"/>
                  </w:tcBorders>
                  <w:vAlign w:val="center"/>
                </w:tcPr>
                <w:p>
                  <w:pPr>
                    <w:spacing w:line="400" w:lineRule="exact"/>
                    <w:jc w:val="center"/>
                  </w:pPr>
                  <w:r>
                    <w:t>W</w:t>
                  </w:r>
                  <w:r>
                    <w:rPr>
                      <w:rFonts w:hint="eastAsia"/>
                      <w:lang w:val="en-US" w:eastAsia="zh-CN"/>
                    </w:rPr>
                    <w:t>1</w:t>
                  </w:r>
                  <w:r>
                    <w:t>常州市武南污水处理厂有限公司排污口上游500m</w:t>
                  </w:r>
                </w:p>
              </w:tc>
              <w:tc>
                <w:tcPr>
                  <w:tcW w:w="1609" w:type="dxa"/>
                  <w:tcBorders>
                    <w:tl2br w:val="nil"/>
                    <w:tr2bl w:val="nil"/>
                  </w:tcBorders>
                  <w:vAlign w:val="center"/>
                </w:tcPr>
                <w:p>
                  <w:pPr>
                    <w:spacing w:line="400" w:lineRule="exact"/>
                    <w:jc w:val="center"/>
                    <w:rPr>
                      <w:rFonts w:hint="eastAsia"/>
                    </w:rPr>
                  </w:pPr>
                  <w:r>
                    <w:rPr>
                      <w:rFonts w:hint="eastAsia"/>
                    </w:rPr>
                    <w:t>浓度范围</w:t>
                  </w:r>
                </w:p>
              </w:tc>
              <w:tc>
                <w:tcPr>
                  <w:tcW w:w="873" w:type="dxa"/>
                  <w:tcBorders>
                    <w:tl2br w:val="nil"/>
                    <w:tr2bl w:val="nil"/>
                  </w:tcBorders>
                  <w:vAlign w:val="center"/>
                </w:tcPr>
                <w:p>
                  <w:pPr>
                    <w:spacing w:line="400" w:lineRule="exact"/>
                    <w:jc w:val="center"/>
                    <w:rPr>
                      <w:rFonts w:hint="eastAsia"/>
                    </w:rPr>
                  </w:pPr>
                  <w:r>
                    <w:rPr>
                      <w:rFonts w:hint="eastAsia"/>
                    </w:rPr>
                    <w:t>7.0~7.1</w:t>
                  </w:r>
                </w:p>
              </w:tc>
              <w:tc>
                <w:tcPr>
                  <w:tcW w:w="777" w:type="dxa"/>
                  <w:tcBorders>
                    <w:tl2br w:val="nil"/>
                    <w:tr2bl w:val="nil"/>
                  </w:tcBorders>
                  <w:vAlign w:val="center"/>
                </w:tcPr>
                <w:p>
                  <w:pPr>
                    <w:spacing w:line="400" w:lineRule="exact"/>
                    <w:jc w:val="center"/>
                    <w:rPr>
                      <w:rFonts w:hint="eastAsia"/>
                    </w:rPr>
                  </w:pPr>
                  <w:r>
                    <w:rPr>
                      <w:rFonts w:hint="eastAsia"/>
                    </w:rPr>
                    <w:t>12~14</w:t>
                  </w:r>
                </w:p>
              </w:tc>
              <w:tc>
                <w:tcPr>
                  <w:tcW w:w="1309" w:type="dxa"/>
                  <w:tcBorders>
                    <w:tl2br w:val="nil"/>
                    <w:tr2bl w:val="nil"/>
                  </w:tcBorders>
                  <w:vAlign w:val="center"/>
                </w:tcPr>
                <w:p>
                  <w:pPr>
                    <w:spacing w:line="400" w:lineRule="exact"/>
                    <w:jc w:val="center"/>
                    <w:rPr>
                      <w:rFonts w:hint="eastAsia"/>
                    </w:rPr>
                  </w:pPr>
                  <w:r>
                    <w:rPr>
                      <w:rFonts w:hint="eastAsia"/>
                    </w:rPr>
                    <w:t>0.562~0.626</w:t>
                  </w:r>
                </w:p>
              </w:tc>
              <w:tc>
                <w:tcPr>
                  <w:tcW w:w="1133" w:type="dxa"/>
                  <w:tcBorders>
                    <w:tl2br w:val="nil"/>
                    <w:tr2bl w:val="nil"/>
                  </w:tcBorders>
                  <w:vAlign w:val="center"/>
                </w:tcPr>
                <w:p>
                  <w:pPr>
                    <w:spacing w:line="400" w:lineRule="exact"/>
                    <w:jc w:val="center"/>
                    <w:rPr>
                      <w:rFonts w:hint="eastAsia"/>
                    </w:rPr>
                  </w:pPr>
                  <w:r>
                    <w:rPr>
                      <w:rFonts w:hint="eastAsia"/>
                    </w:rPr>
                    <w:t>0.06~0.08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05" w:type="dxa"/>
                  <w:vMerge w:val="continue"/>
                  <w:tcBorders>
                    <w:tl2br w:val="nil"/>
                    <w:tr2bl w:val="nil"/>
                  </w:tcBorders>
                  <w:vAlign w:val="center"/>
                </w:tcPr>
                <w:p>
                  <w:pPr>
                    <w:spacing w:line="400" w:lineRule="exact"/>
                    <w:jc w:val="center"/>
                  </w:pPr>
                </w:p>
              </w:tc>
              <w:tc>
                <w:tcPr>
                  <w:tcW w:w="1568" w:type="dxa"/>
                  <w:vMerge w:val="continue"/>
                  <w:tcBorders>
                    <w:tl2br w:val="nil"/>
                    <w:tr2bl w:val="nil"/>
                  </w:tcBorders>
                  <w:vAlign w:val="center"/>
                </w:tcPr>
                <w:p>
                  <w:pPr>
                    <w:spacing w:line="400" w:lineRule="exact"/>
                    <w:jc w:val="center"/>
                  </w:pPr>
                </w:p>
              </w:tc>
              <w:tc>
                <w:tcPr>
                  <w:tcW w:w="1609" w:type="dxa"/>
                  <w:tcBorders>
                    <w:tl2br w:val="nil"/>
                    <w:tr2bl w:val="nil"/>
                  </w:tcBorders>
                  <w:vAlign w:val="center"/>
                </w:tcPr>
                <w:p>
                  <w:pPr>
                    <w:spacing w:line="400" w:lineRule="exact"/>
                    <w:jc w:val="center"/>
                    <w:rPr>
                      <w:rFonts w:hint="eastAsia"/>
                    </w:rPr>
                  </w:pPr>
                  <w:r>
                    <w:rPr>
                      <w:rFonts w:hint="eastAsia"/>
                    </w:rPr>
                    <w:t>平均值</w:t>
                  </w:r>
                </w:p>
              </w:tc>
              <w:tc>
                <w:tcPr>
                  <w:tcW w:w="873" w:type="dxa"/>
                  <w:tcBorders>
                    <w:tl2br w:val="nil"/>
                    <w:tr2bl w:val="nil"/>
                  </w:tcBorders>
                  <w:vAlign w:val="center"/>
                </w:tcPr>
                <w:p>
                  <w:pPr>
                    <w:spacing w:line="400" w:lineRule="exact"/>
                    <w:jc w:val="center"/>
                    <w:rPr>
                      <w:rFonts w:hint="eastAsia"/>
                    </w:rPr>
                  </w:pPr>
                  <w:r>
                    <w:rPr>
                      <w:rFonts w:hint="eastAsia"/>
                    </w:rPr>
                    <w:t>7.1</w:t>
                  </w:r>
                </w:p>
              </w:tc>
              <w:tc>
                <w:tcPr>
                  <w:tcW w:w="777" w:type="dxa"/>
                  <w:tcBorders>
                    <w:tl2br w:val="nil"/>
                    <w:tr2bl w:val="nil"/>
                  </w:tcBorders>
                  <w:vAlign w:val="center"/>
                </w:tcPr>
                <w:p>
                  <w:pPr>
                    <w:spacing w:line="400" w:lineRule="exact"/>
                    <w:jc w:val="center"/>
                    <w:rPr>
                      <w:rFonts w:hint="eastAsia"/>
                    </w:rPr>
                  </w:pPr>
                  <w:r>
                    <w:rPr>
                      <w:rFonts w:hint="eastAsia"/>
                    </w:rPr>
                    <w:t>13</w:t>
                  </w:r>
                </w:p>
              </w:tc>
              <w:tc>
                <w:tcPr>
                  <w:tcW w:w="1309" w:type="dxa"/>
                  <w:tcBorders>
                    <w:tl2br w:val="nil"/>
                    <w:tr2bl w:val="nil"/>
                  </w:tcBorders>
                  <w:vAlign w:val="center"/>
                </w:tcPr>
                <w:p>
                  <w:pPr>
                    <w:spacing w:line="400" w:lineRule="exact"/>
                    <w:jc w:val="center"/>
                    <w:rPr>
                      <w:rFonts w:hint="eastAsia"/>
                    </w:rPr>
                  </w:pPr>
                  <w:r>
                    <w:rPr>
                      <w:rFonts w:hint="eastAsia"/>
                    </w:rPr>
                    <w:t>0.589</w:t>
                  </w:r>
                </w:p>
              </w:tc>
              <w:tc>
                <w:tcPr>
                  <w:tcW w:w="1133" w:type="dxa"/>
                  <w:tcBorders>
                    <w:tl2br w:val="nil"/>
                    <w:tr2bl w:val="nil"/>
                  </w:tcBorders>
                  <w:vAlign w:val="center"/>
                </w:tcPr>
                <w:p>
                  <w:pPr>
                    <w:spacing w:line="400" w:lineRule="exact"/>
                    <w:jc w:val="center"/>
                    <w:rPr>
                      <w:rFonts w:hint="eastAsia"/>
                    </w:rPr>
                  </w:pPr>
                  <w:r>
                    <w:rPr>
                      <w:rFonts w:hint="eastAsia"/>
                    </w:rPr>
                    <w:t>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05" w:type="dxa"/>
                  <w:vMerge w:val="continue"/>
                  <w:tcBorders>
                    <w:tl2br w:val="nil"/>
                    <w:tr2bl w:val="nil"/>
                  </w:tcBorders>
                  <w:vAlign w:val="center"/>
                </w:tcPr>
                <w:p>
                  <w:pPr>
                    <w:spacing w:line="400" w:lineRule="exact"/>
                    <w:jc w:val="center"/>
                  </w:pPr>
                </w:p>
              </w:tc>
              <w:tc>
                <w:tcPr>
                  <w:tcW w:w="1568" w:type="dxa"/>
                  <w:vMerge w:val="continue"/>
                  <w:tcBorders>
                    <w:tl2br w:val="nil"/>
                    <w:tr2bl w:val="nil"/>
                  </w:tcBorders>
                  <w:vAlign w:val="center"/>
                </w:tcPr>
                <w:p>
                  <w:pPr>
                    <w:spacing w:line="400" w:lineRule="exact"/>
                    <w:jc w:val="center"/>
                  </w:pPr>
                </w:p>
              </w:tc>
              <w:tc>
                <w:tcPr>
                  <w:tcW w:w="1609" w:type="dxa"/>
                  <w:tcBorders>
                    <w:tl2br w:val="nil"/>
                    <w:tr2bl w:val="nil"/>
                  </w:tcBorders>
                  <w:vAlign w:val="center"/>
                </w:tcPr>
                <w:p>
                  <w:pPr>
                    <w:spacing w:line="400" w:lineRule="exact"/>
                    <w:jc w:val="center"/>
                    <w:rPr>
                      <w:rFonts w:hint="eastAsia"/>
                    </w:rPr>
                  </w:pPr>
                  <w:r>
                    <w:rPr>
                      <w:rFonts w:hint="eastAsia"/>
                    </w:rPr>
                    <w:t>超标率（%）</w:t>
                  </w:r>
                </w:p>
              </w:tc>
              <w:tc>
                <w:tcPr>
                  <w:tcW w:w="873" w:type="dxa"/>
                  <w:tcBorders>
                    <w:tl2br w:val="nil"/>
                    <w:tr2bl w:val="nil"/>
                  </w:tcBorders>
                  <w:vAlign w:val="center"/>
                </w:tcPr>
                <w:p>
                  <w:pPr>
                    <w:spacing w:line="400" w:lineRule="exact"/>
                    <w:jc w:val="center"/>
                    <w:rPr>
                      <w:rFonts w:hint="eastAsia"/>
                    </w:rPr>
                  </w:pPr>
                  <w:r>
                    <w:rPr>
                      <w:rFonts w:hint="eastAsia"/>
                    </w:rPr>
                    <w:t>0</w:t>
                  </w:r>
                </w:p>
              </w:tc>
              <w:tc>
                <w:tcPr>
                  <w:tcW w:w="777" w:type="dxa"/>
                  <w:tcBorders>
                    <w:tl2br w:val="nil"/>
                    <w:tr2bl w:val="nil"/>
                  </w:tcBorders>
                  <w:vAlign w:val="center"/>
                </w:tcPr>
                <w:p>
                  <w:pPr>
                    <w:spacing w:line="400" w:lineRule="exact"/>
                    <w:jc w:val="center"/>
                    <w:rPr>
                      <w:rFonts w:hint="eastAsia"/>
                    </w:rPr>
                  </w:pPr>
                  <w:r>
                    <w:rPr>
                      <w:rFonts w:hint="eastAsia"/>
                    </w:rPr>
                    <w:t>0</w:t>
                  </w:r>
                </w:p>
              </w:tc>
              <w:tc>
                <w:tcPr>
                  <w:tcW w:w="1309" w:type="dxa"/>
                  <w:tcBorders>
                    <w:tl2br w:val="nil"/>
                    <w:tr2bl w:val="nil"/>
                  </w:tcBorders>
                  <w:vAlign w:val="center"/>
                </w:tcPr>
                <w:p>
                  <w:pPr>
                    <w:spacing w:line="400" w:lineRule="exact"/>
                    <w:jc w:val="center"/>
                    <w:rPr>
                      <w:rFonts w:hint="eastAsia"/>
                    </w:rPr>
                  </w:pPr>
                  <w:r>
                    <w:rPr>
                      <w:rFonts w:hint="eastAsia"/>
                    </w:rPr>
                    <w:t>0</w:t>
                  </w:r>
                </w:p>
              </w:tc>
              <w:tc>
                <w:tcPr>
                  <w:tcW w:w="1133" w:type="dxa"/>
                  <w:tcBorders>
                    <w:tl2br w:val="nil"/>
                    <w:tr2bl w:val="nil"/>
                  </w:tcBorders>
                  <w:vAlign w:val="center"/>
                </w:tcPr>
                <w:p>
                  <w:pPr>
                    <w:spacing w:line="400" w:lineRule="exact"/>
                    <w:jc w:val="center"/>
                    <w:rPr>
                      <w:rFonts w:hint="eastAsia"/>
                    </w:rPr>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05" w:type="dxa"/>
                  <w:vMerge w:val="continue"/>
                  <w:tcBorders>
                    <w:tl2br w:val="nil"/>
                    <w:tr2bl w:val="nil"/>
                  </w:tcBorders>
                  <w:vAlign w:val="center"/>
                </w:tcPr>
                <w:p>
                  <w:pPr>
                    <w:spacing w:line="400" w:lineRule="exact"/>
                    <w:jc w:val="center"/>
                  </w:pPr>
                </w:p>
              </w:tc>
              <w:tc>
                <w:tcPr>
                  <w:tcW w:w="1568" w:type="dxa"/>
                  <w:vMerge w:val="continue"/>
                  <w:tcBorders>
                    <w:tl2br w:val="nil"/>
                    <w:tr2bl w:val="nil"/>
                  </w:tcBorders>
                  <w:vAlign w:val="center"/>
                </w:tcPr>
                <w:p>
                  <w:pPr>
                    <w:spacing w:line="400" w:lineRule="exact"/>
                    <w:jc w:val="center"/>
                  </w:pPr>
                </w:p>
              </w:tc>
              <w:tc>
                <w:tcPr>
                  <w:tcW w:w="1609" w:type="dxa"/>
                  <w:tcBorders>
                    <w:tl2br w:val="nil"/>
                    <w:tr2bl w:val="nil"/>
                  </w:tcBorders>
                  <w:vAlign w:val="center"/>
                </w:tcPr>
                <w:p>
                  <w:pPr>
                    <w:spacing w:line="400" w:lineRule="exact"/>
                    <w:jc w:val="center"/>
                    <w:rPr>
                      <w:rFonts w:hint="eastAsia"/>
                    </w:rPr>
                  </w:pPr>
                  <w:r>
                    <w:rPr>
                      <w:rFonts w:hint="eastAsia"/>
                    </w:rPr>
                    <w:t>最大超标倍数</w:t>
                  </w:r>
                </w:p>
              </w:tc>
              <w:tc>
                <w:tcPr>
                  <w:tcW w:w="873" w:type="dxa"/>
                  <w:tcBorders>
                    <w:tl2br w:val="nil"/>
                    <w:tr2bl w:val="nil"/>
                  </w:tcBorders>
                  <w:vAlign w:val="center"/>
                </w:tcPr>
                <w:p>
                  <w:pPr>
                    <w:spacing w:line="400" w:lineRule="exact"/>
                    <w:jc w:val="center"/>
                    <w:rPr>
                      <w:rFonts w:hint="eastAsia"/>
                    </w:rPr>
                  </w:pPr>
                  <w:r>
                    <w:rPr>
                      <w:rFonts w:hint="eastAsia"/>
                    </w:rPr>
                    <w:t>0</w:t>
                  </w:r>
                </w:p>
              </w:tc>
              <w:tc>
                <w:tcPr>
                  <w:tcW w:w="777" w:type="dxa"/>
                  <w:tcBorders>
                    <w:tl2br w:val="nil"/>
                    <w:tr2bl w:val="nil"/>
                  </w:tcBorders>
                  <w:vAlign w:val="center"/>
                </w:tcPr>
                <w:p>
                  <w:pPr>
                    <w:spacing w:line="400" w:lineRule="exact"/>
                    <w:jc w:val="center"/>
                    <w:rPr>
                      <w:rFonts w:hint="eastAsia"/>
                    </w:rPr>
                  </w:pPr>
                  <w:r>
                    <w:rPr>
                      <w:rFonts w:hint="eastAsia"/>
                    </w:rPr>
                    <w:t>0</w:t>
                  </w:r>
                </w:p>
              </w:tc>
              <w:tc>
                <w:tcPr>
                  <w:tcW w:w="1309" w:type="dxa"/>
                  <w:tcBorders>
                    <w:tl2br w:val="nil"/>
                    <w:tr2bl w:val="nil"/>
                  </w:tcBorders>
                  <w:vAlign w:val="center"/>
                </w:tcPr>
                <w:p>
                  <w:pPr>
                    <w:spacing w:line="400" w:lineRule="exact"/>
                    <w:jc w:val="center"/>
                    <w:rPr>
                      <w:rFonts w:hint="eastAsia"/>
                    </w:rPr>
                  </w:pPr>
                  <w:r>
                    <w:rPr>
                      <w:rFonts w:hint="eastAsia"/>
                    </w:rPr>
                    <w:t>0</w:t>
                  </w:r>
                </w:p>
              </w:tc>
              <w:tc>
                <w:tcPr>
                  <w:tcW w:w="1133" w:type="dxa"/>
                  <w:tcBorders>
                    <w:tl2br w:val="nil"/>
                    <w:tr2bl w:val="nil"/>
                  </w:tcBorders>
                  <w:vAlign w:val="center"/>
                </w:tcPr>
                <w:p>
                  <w:pPr>
                    <w:spacing w:line="400" w:lineRule="exact"/>
                    <w:jc w:val="center"/>
                    <w:rPr>
                      <w:rFonts w:hint="eastAsia"/>
                    </w:rPr>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05" w:type="dxa"/>
                  <w:vMerge w:val="continue"/>
                  <w:tcBorders>
                    <w:tl2br w:val="nil"/>
                    <w:tr2bl w:val="nil"/>
                  </w:tcBorders>
                  <w:vAlign w:val="center"/>
                </w:tcPr>
                <w:p>
                  <w:pPr>
                    <w:spacing w:line="400" w:lineRule="exact"/>
                    <w:jc w:val="center"/>
                  </w:pPr>
                </w:p>
              </w:tc>
              <w:tc>
                <w:tcPr>
                  <w:tcW w:w="1568" w:type="dxa"/>
                  <w:vMerge w:val="restart"/>
                  <w:tcBorders>
                    <w:tl2br w:val="nil"/>
                    <w:tr2bl w:val="nil"/>
                  </w:tcBorders>
                  <w:vAlign w:val="center"/>
                </w:tcPr>
                <w:p>
                  <w:pPr>
                    <w:spacing w:line="400" w:lineRule="exact"/>
                    <w:jc w:val="center"/>
                  </w:pPr>
                  <w:r>
                    <w:t>W</w:t>
                  </w:r>
                  <w:r>
                    <w:rPr>
                      <w:rFonts w:hint="eastAsia"/>
                      <w:lang w:val="en-US" w:eastAsia="zh-CN"/>
                    </w:rPr>
                    <w:t>2</w:t>
                  </w:r>
                  <w:r>
                    <w:t>常州市武南污水处理厂有限公司排污口</w:t>
                  </w:r>
                  <w:r>
                    <w:rPr>
                      <w:rFonts w:hint="eastAsia"/>
                      <w:lang w:val="en-US" w:eastAsia="zh-CN"/>
                    </w:rPr>
                    <w:t>下</w:t>
                  </w:r>
                  <w:r>
                    <w:t>游</w:t>
                  </w:r>
                  <w:r>
                    <w:rPr>
                      <w:rFonts w:hint="eastAsia"/>
                      <w:lang w:val="en-US" w:eastAsia="zh-CN"/>
                    </w:rPr>
                    <w:t>1</w:t>
                  </w:r>
                  <w:r>
                    <w:t>500m</w:t>
                  </w:r>
                </w:p>
              </w:tc>
              <w:tc>
                <w:tcPr>
                  <w:tcW w:w="1609" w:type="dxa"/>
                  <w:tcBorders>
                    <w:tl2br w:val="nil"/>
                    <w:tr2bl w:val="nil"/>
                  </w:tcBorders>
                  <w:vAlign w:val="center"/>
                </w:tcPr>
                <w:p>
                  <w:pPr>
                    <w:spacing w:line="400" w:lineRule="exact"/>
                    <w:jc w:val="center"/>
                  </w:pPr>
                  <w:r>
                    <w:rPr>
                      <w:rFonts w:hint="eastAsia"/>
                    </w:rPr>
                    <w:t>浓度范围</w:t>
                  </w:r>
                </w:p>
              </w:tc>
              <w:tc>
                <w:tcPr>
                  <w:tcW w:w="873" w:type="dxa"/>
                  <w:tcBorders>
                    <w:tl2br w:val="nil"/>
                    <w:tr2bl w:val="nil"/>
                  </w:tcBorders>
                  <w:vAlign w:val="center"/>
                </w:tcPr>
                <w:p>
                  <w:pPr>
                    <w:spacing w:line="400" w:lineRule="exact"/>
                    <w:jc w:val="center"/>
                    <w:rPr>
                      <w:rFonts w:hint="eastAsia"/>
                    </w:rPr>
                  </w:pPr>
                  <w:r>
                    <w:rPr>
                      <w:rFonts w:hint="eastAsia"/>
                    </w:rPr>
                    <w:t>7.0~7.1</w:t>
                  </w:r>
                </w:p>
              </w:tc>
              <w:tc>
                <w:tcPr>
                  <w:tcW w:w="777" w:type="dxa"/>
                  <w:tcBorders>
                    <w:tl2br w:val="nil"/>
                    <w:tr2bl w:val="nil"/>
                  </w:tcBorders>
                  <w:vAlign w:val="center"/>
                </w:tcPr>
                <w:p>
                  <w:pPr>
                    <w:spacing w:line="400" w:lineRule="exact"/>
                    <w:jc w:val="center"/>
                    <w:rPr>
                      <w:rFonts w:hint="eastAsia"/>
                    </w:rPr>
                  </w:pPr>
                  <w:r>
                    <w:rPr>
                      <w:rFonts w:hint="eastAsia"/>
                    </w:rPr>
                    <w:t>10~19</w:t>
                  </w:r>
                </w:p>
              </w:tc>
              <w:tc>
                <w:tcPr>
                  <w:tcW w:w="1309" w:type="dxa"/>
                  <w:tcBorders>
                    <w:tl2br w:val="nil"/>
                    <w:tr2bl w:val="nil"/>
                  </w:tcBorders>
                  <w:vAlign w:val="center"/>
                </w:tcPr>
                <w:p>
                  <w:pPr>
                    <w:spacing w:line="400" w:lineRule="exact"/>
                    <w:jc w:val="center"/>
                    <w:rPr>
                      <w:rFonts w:hint="eastAsia"/>
                    </w:rPr>
                  </w:pPr>
                  <w:r>
                    <w:rPr>
                      <w:rFonts w:hint="eastAsia"/>
                    </w:rPr>
                    <w:t>0.566~0.577</w:t>
                  </w:r>
                </w:p>
              </w:tc>
              <w:tc>
                <w:tcPr>
                  <w:tcW w:w="1133" w:type="dxa"/>
                  <w:tcBorders>
                    <w:tl2br w:val="nil"/>
                    <w:tr2bl w:val="nil"/>
                  </w:tcBorders>
                  <w:vAlign w:val="center"/>
                </w:tcPr>
                <w:p>
                  <w:pPr>
                    <w:spacing w:line="400" w:lineRule="exact"/>
                    <w:jc w:val="center"/>
                    <w:rPr>
                      <w:rFonts w:hint="eastAsia"/>
                    </w:rPr>
                  </w:pPr>
                  <w:r>
                    <w:rPr>
                      <w:rFonts w:hint="eastAsia"/>
                    </w:rPr>
                    <w:t>0.01~0.01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05" w:type="dxa"/>
                  <w:vMerge w:val="continue"/>
                  <w:tcBorders>
                    <w:tl2br w:val="nil"/>
                    <w:tr2bl w:val="nil"/>
                  </w:tcBorders>
                  <w:vAlign w:val="center"/>
                </w:tcPr>
                <w:p>
                  <w:pPr>
                    <w:spacing w:line="400" w:lineRule="exact"/>
                    <w:jc w:val="center"/>
                  </w:pPr>
                </w:p>
              </w:tc>
              <w:tc>
                <w:tcPr>
                  <w:tcW w:w="1568" w:type="dxa"/>
                  <w:vMerge w:val="continue"/>
                  <w:tcBorders>
                    <w:tl2br w:val="nil"/>
                    <w:tr2bl w:val="nil"/>
                  </w:tcBorders>
                  <w:vAlign w:val="center"/>
                </w:tcPr>
                <w:p>
                  <w:pPr>
                    <w:spacing w:line="400" w:lineRule="exact"/>
                    <w:jc w:val="center"/>
                  </w:pPr>
                </w:p>
              </w:tc>
              <w:tc>
                <w:tcPr>
                  <w:tcW w:w="1609" w:type="dxa"/>
                  <w:tcBorders>
                    <w:tl2br w:val="nil"/>
                    <w:tr2bl w:val="nil"/>
                  </w:tcBorders>
                  <w:vAlign w:val="center"/>
                </w:tcPr>
                <w:p>
                  <w:pPr>
                    <w:spacing w:line="400" w:lineRule="exact"/>
                    <w:jc w:val="center"/>
                  </w:pPr>
                  <w:r>
                    <w:rPr>
                      <w:rFonts w:hint="eastAsia"/>
                    </w:rPr>
                    <w:t>平均值</w:t>
                  </w:r>
                </w:p>
              </w:tc>
              <w:tc>
                <w:tcPr>
                  <w:tcW w:w="873" w:type="dxa"/>
                  <w:tcBorders>
                    <w:tl2br w:val="nil"/>
                    <w:tr2bl w:val="nil"/>
                  </w:tcBorders>
                  <w:vAlign w:val="center"/>
                </w:tcPr>
                <w:p>
                  <w:pPr>
                    <w:spacing w:line="400" w:lineRule="exact"/>
                    <w:jc w:val="center"/>
                    <w:rPr>
                      <w:rFonts w:hint="eastAsia"/>
                    </w:rPr>
                  </w:pPr>
                  <w:r>
                    <w:rPr>
                      <w:rFonts w:hint="eastAsia"/>
                    </w:rPr>
                    <w:t>7.1</w:t>
                  </w:r>
                </w:p>
              </w:tc>
              <w:tc>
                <w:tcPr>
                  <w:tcW w:w="777" w:type="dxa"/>
                  <w:tcBorders>
                    <w:tl2br w:val="nil"/>
                    <w:tr2bl w:val="nil"/>
                  </w:tcBorders>
                  <w:vAlign w:val="center"/>
                </w:tcPr>
                <w:p>
                  <w:pPr>
                    <w:spacing w:line="400" w:lineRule="exact"/>
                    <w:jc w:val="center"/>
                    <w:rPr>
                      <w:rFonts w:hint="eastAsia"/>
                    </w:rPr>
                  </w:pPr>
                  <w:r>
                    <w:rPr>
                      <w:rFonts w:hint="eastAsia"/>
                    </w:rPr>
                    <w:t>11</w:t>
                  </w:r>
                </w:p>
              </w:tc>
              <w:tc>
                <w:tcPr>
                  <w:tcW w:w="1309" w:type="dxa"/>
                  <w:tcBorders>
                    <w:tl2br w:val="nil"/>
                    <w:tr2bl w:val="nil"/>
                  </w:tcBorders>
                  <w:vAlign w:val="center"/>
                </w:tcPr>
                <w:p>
                  <w:pPr>
                    <w:spacing w:line="400" w:lineRule="exact"/>
                    <w:jc w:val="center"/>
                    <w:rPr>
                      <w:rFonts w:hint="eastAsia"/>
                    </w:rPr>
                  </w:pPr>
                  <w:r>
                    <w:rPr>
                      <w:rFonts w:hint="eastAsia"/>
                    </w:rPr>
                    <w:t>0.570</w:t>
                  </w:r>
                </w:p>
              </w:tc>
              <w:tc>
                <w:tcPr>
                  <w:tcW w:w="1133" w:type="dxa"/>
                  <w:tcBorders>
                    <w:tl2br w:val="nil"/>
                    <w:tr2bl w:val="nil"/>
                  </w:tcBorders>
                  <w:vAlign w:val="center"/>
                </w:tcPr>
                <w:p>
                  <w:pPr>
                    <w:spacing w:line="400" w:lineRule="exact"/>
                    <w:jc w:val="center"/>
                    <w:rPr>
                      <w:rFonts w:hint="eastAsia"/>
                    </w:rPr>
                  </w:pPr>
                  <w:r>
                    <w:rPr>
                      <w:rFonts w:hint="eastAsia"/>
                    </w:rPr>
                    <w: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05" w:type="dxa"/>
                  <w:vMerge w:val="continue"/>
                  <w:tcBorders>
                    <w:tl2br w:val="nil"/>
                    <w:tr2bl w:val="nil"/>
                  </w:tcBorders>
                  <w:vAlign w:val="center"/>
                </w:tcPr>
                <w:p>
                  <w:pPr>
                    <w:spacing w:line="400" w:lineRule="exact"/>
                    <w:jc w:val="center"/>
                  </w:pPr>
                </w:p>
              </w:tc>
              <w:tc>
                <w:tcPr>
                  <w:tcW w:w="1568" w:type="dxa"/>
                  <w:vMerge w:val="continue"/>
                  <w:tcBorders>
                    <w:tl2br w:val="nil"/>
                    <w:tr2bl w:val="nil"/>
                  </w:tcBorders>
                  <w:vAlign w:val="center"/>
                </w:tcPr>
                <w:p>
                  <w:pPr>
                    <w:spacing w:line="400" w:lineRule="exact"/>
                    <w:jc w:val="center"/>
                  </w:pPr>
                </w:p>
              </w:tc>
              <w:tc>
                <w:tcPr>
                  <w:tcW w:w="1609" w:type="dxa"/>
                  <w:tcBorders>
                    <w:tl2br w:val="nil"/>
                    <w:tr2bl w:val="nil"/>
                  </w:tcBorders>
                  <w:vAlign w:val="center"/>
                </w:tcPr>
                <w:p>
                  <w:pPr>
                    <w:spacing w:line="400" w:lineRule="exact"/>
                    <w:jc w:val="center"/>
                  </w:pPr>
                  <w:r>
                    <w:rPr>
                      <w:rFonts w:hint="eastAsia"/>
                    </w:rPr>
                    <w:t>超标率（%）</w:t>
                  </w:r>
                </w:p>
              </w:tc>
              <w:tc>
                <w:tcPr>
                  <w:tcW w:w="873" w:type="dxa"/>
                  <w:tcBorders>
                    <w:tl2br w:val="nil"/>
                    <w:tr2bl w:val="nil"/>
                  </w:tcBorders>
                  <w:vAlign w:val="center"/>
                </w:tcPr>
                <w:p>
                  <w:pPr>
                    <w:spacing w:line="400" w:lineRule="exact"/>
                    <w:jc w:val="center"/>
                    <w:rPr>
                      <w:rFonts w:hint="eastAsia"/>
                    </w:rPr>
                  </w:pPr>
                  <w:r>
                    <w:rPr>
                      <w:rFonts w:hint="eastAsia"/>
                    </w:rPr>
                    <w:t>0</w:t>
                  </w:r>
                </w:p>
              </w:tc>
              <w:tc>
                <w:tcPr>
                  <w:tcW w:w="777" w:type="dxa"/>
                  <w:tcBorders>
                    <w:tl2br w:val="nil"/>
                    <w:tr2bl w:val="nil"/>
                  </w:tcBorders>
                  <w:vAlign w:val="center"/>
                </w:tcPr>
                <w:p>
                  <w:pPr>
                    <w:spacing w:line="400" w:lineRule="exact"/>
                    <w:jc w:val="center"/>
                    <w:rPr>
                      <w:rFonts w:hint="eastAsia"/>
                    </w:rPr>
                  </w:pPr>
                  <w:r>
                    <w:rPr>
                      <w:rFonts w:hint="eastAsia"/>
                    </w:rPr>
                    <w:t>0</w:t>
                  </w:r>
                </w:p>
              </w:tc>
              <w:tc>
                <w:tcPr>
                  <w:tcW w:w="1309" w:type="dxa"/>
                  <w:tcBorders>
                    <w:tl2br w:val="nil"/>
                    <w:tr2bl w:val="nil"/>
                  </w:tcBorders>
                  <w:vAlign w:val="center"/>
                </w:tcPr>
                <w:p>
                  <w:pPr>
                    <w:spacing w:line="400" w:lineRule="exact"/>
                    <w:jc w:val="center"/>
                    <w:rPr>
                      <w:rFonts w:hint="eastAsia"/>
                    </w:rPr>
                  </w:pPr>
                  <w:r>
                    <w:rPr>
                      <w:rFonts w:hint="eastAsia"/>
                    </w:rPr>
                    <w:t>0</w:t>
                  </w:r>
                </w:p>
              </w:tc>
              <w:tc>
                <w:tcPr>
                  <w:tcW w:w="1133" w:type="dxa"/>
                  <w:tcBorders>
                    <w:tl2br w:val="nil"/>
                    <w:tr2bl w:val="nil"/>
                  </w:tcBorders>
                  <w:vAlign w:val="center"/>
                </w:tcPr>
                <w:p>
                  <w:pPr>
                    <w:spacing w:line="400" w:lineRule="exact"/>
                    <w:jc w:val="center"/>
                    <w:rPr>
                      <w:rFonts w:hint="eastAsia"/>
                    </w:rPr>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705" w:type="dxa"/>
                  <w:vMerge w:val="continue"/>
                  <w:tcBorders>
                    <w:tl2br w:val="nil"/>
                    <w:tr2bl w:val="nil"/>
                  </w:tcBorders>
                  <w:vAlign w:val="center"/>
                </w:tcPr>
                <w:p>
                  <w:pPr>
                    <w:spacing w:line="400" w:lineRule="exact"/>
                    <w:jc w:val="center"/>
                  </w:pPr>
                </w:p>
              </w:tc>
              <w:tc>
                <w:tcPr>
                  <w:tcW w:w="1568" w:type="dxa"/>
                  <w:vMerge w:val="continue"/>
                  <w:tcBorders>
                    <w:tl2br w:val="nil"/>
                    <w:tr2bl w:val="nil"/>
                  </w:tcBorders>
                  <w:vAlign w:val="center"/>
                </w:tcPr>
                <w:p>
                  <w:pPr>
                    <w:spacing w:line="400" w:lineRule="exact"/>
                    <w:jc w:val="center"/>
                  </w:pPr>
                </w:p>
              </w:tc>
              <w:tc>
                <w:tcPr>
                  <w:tcW w:w="1609" w:type="dxa"/>
                  <w:tcBorders>
                    <w:tl2br w:val="nil"/>
                    <w:tr2bl w:val="nil"/>
                  </w:tcBorders>
                  <w:vAlign w:val="center"/>
                </w:tcPr>
                <w:p>
                  <w:pPr>
                    <w:spacing w:line="400" w:lineRule="exact"/>
                    <w:jc w:val="center"/>
                  </w:pPr>
                  <w:r>
                    <w:rPr>
                      <w:rFonts w:hint="eastAsia"/>
                    </w:rPr>
                    <w:t>最大超标倍数</w:t>
                  </w:r>
                </w:p>
              </w:tc>
              <w:tc>
                <w:tcPr>
                  <w:tcW w:w="873" w:type="dxa"/>
                  <w:tcBorders>
                    <w:tl2br w:val="nil"/>
                    <w:tr2bl w:val="nil"/>
                  </w:tcBorders>
                  <w:vAlign w:val="center"/>
                </w:tcPr>
                <w:p>
                  <w:pPr>
                    <w:spacing w:line="400" w:lineRule="exact"/>
                    <w:jc w:val="center"/>
                    <w:rPr>
                      <w:rFonts w:hint="eastAsia"/>
                    </w:rPr>
                  </w:pPr>
                  <w:r>
                    <w:rPr>
                      <w:rFonts w:hint="eastAsia"/>
                    </w:rPr>
                    <w:t>0</w:t>
                  </w:r>
                </w:p>
              </w:tc>
              <w:tc>
                <w:tcPr>
                  <w:tcW w:w="777" w:type="dxa"/>
                  <w:tcBorders>
                    <w:tl2br w:val="nil"/>
                    <w:tr2bl w:val="nil"/>
                  </w:tcBorders>
                  <w:vAlign w:val="center"/>
                </w:tcPr>
                <w:p>
                  <w:pPr>
                    <w:spacing w:line="400" w:lineRule="exact"/>
                    <w:jc w:val="center"/>
                    <w:rPr>
                      <w:rFonts w:hint="eastAsia"/>
                    </w:rPr>
                  </w:pPr>
                  <w:r>
                    <w:rPr>
                      <w:rFonts w:hint="eastAsia"/>
                    </w:rPr>
                    <w:t>0</w:t>
                  </w:r>
                </w:p>
              </w:tc>
              <w:tc>
                <w:tcPr>
                  <w:tcW w:w="1309" w:type="dxa"/>
                  <w:tcBorders>
                    <w:tl2br w:val="nil"/>
                    <w:tr2bl w:val="nil"/>
                  </w:tcBorders>
                  <w:vAlign w:val="center"/>
                </w:tcPr>
                <w:p>
                  <w:pPr>
                    <w:spacing w:line="400" w:lineRule="exact"/>
                    <w:jc w:val="center"/>
                    <w:rPr>
                      <w:rFonts w:hint="eastAsia"/>
                    </w:rPr>
                  </w:pPr>
                  <w:r>
                    <w:rPr>
                      <w:rFonts w:hint="eastAsia"/>
                    </w:rPr>
                    <w:t>0</w:t>
                  </w:r>
                </w:p>
              </w:tc>
              <w:tc>
                <w:tcPr>
                  <w:tcW w:w="1133" w:type="dxa"/>
                  <w:tcBorders>
                    <w:tl2br w:val="nil"/>
                    <w:tr2bl w:val="nil"/>
                  </w:tcBorders>
                  <w:vAlign w:val="center"/>
                </w:tcPr>
                <w:p>
                  <w:pPr>
                    <w:spacing w:line="400" w:lineRule="exact"/>
                    <w:jc w:val="center"/>
                    <w:rPr>
                      <w:rFonts w:hint="eastAsia"/>
                    </w:rPr>
                  </w:pPr>
                  <w:r>
                    <w:rPr>
                      <w:rFonts w:hint="eastAsia"/>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882" w:type="dxa"/>
                  <w:gridSpan w:val="3"/>
                  <w:tcBorders>
                    <w:tl2br w:val="nil"/>
                    <w:tr2bl w:val="nil"/>
                  </w:tcBorders>
                  <w:vAlign w:val="center"/>
                </w:tcPr>
                <w:p>
                  <w:pPr>
                    <w:spacing w:line="400" w:lineRule="exact"/>
                    <w:jc w:val="center"/>
                  </w:pPr>
                  <w:r>
                    <w:rPr>
                      <w:rFonts w:hint="eastAsia" w:ascii="宋体" w:hAnsi="宋体"/>
                    </w:rPr>
                    <w:t>Ⅲ</w:t>
                  </w:r>
                  <w:r>
                    <w:rPr>
                      <w:rFonts w:hint="eastAsia"/>
                    </w:rPr>
                    <w:t>类水质标准值</w:t>
                  </w:r>
                </w:p>
              </w:tc>
              <w:tc>
                <w:tcPr>
                  <w:tcW w:w="873" w:type="dxa"/>
                  <w:tcBorders>
                    <w:tl2br w:val="nil"/>
                    <w:tr2bl w:val="nil"/>
                  </w:tcBorders>
                  <w:vAlign w:val="center"/>
                </w:tcPr>
                <w:p>
                  <w:pPr>
                    <w:spacing w:line="400" w:lineRule="exact"/>
                    <w:jc w:val="center"/>
                  </w:pPr>
                  <w:r>
                    <w:t>6</w:t>
                  </w:r>
                  <w:r>
                    <w:rPr>
                      <w:rFonts w:hint="eastAsia" w:ascii="宋体" w:hAnsi="宋体"/>
                    </w:rPr>
                    <w:t>～</w:t>
                  </w:r>
                  <w:r>
                    <w:t>9</w:t>
                  </w:r>
                </w:p>
              </w:tc>
              <w:tc>
                <w:tcPr>
                  <w:tcW w:w="777" w:type="dxa"/>
                  <w:tcBorders>
                    <w:tl2br w:val="nil"/>
                    <w:tr2bl w:val="nil"/>
                  </w:tcBorders>
                  <w:vAlign w:val="center"/>
                </w:tcPr>
                <w:p>
                  <w:pPr>
                    <w:spacing w:line="400" w:lineRule="exact"/>
                    <w:jc w:val="center"/>
                  </w:pPr>
                  <w:r>
                    <w:rPr>
                      <w:rFonts w:hint="eastAsia" w:ascii="宋体" w:hAnsi="宋体"/>
                    </w:rPr>
                    <w:t>≤</w:t>
                  </w:r>
                  <w:r>
                    <w:rPr>
                      <w:rFonts w:hint="eastAsia"/>
                    </w:rPr>
                    <w:t>2</w:t>
                  </w:r>
                  <w:r>
                    <w:t>0</w:t>
                  </w:r>
                </w:p>
              </w:tc>
              <w:tc>
                <w:tcPr>
                  <w:tcW w:w="1309" w:type="dxa"/>
                  <w:tcBorders>
                    <w:tl2br w:val="nil"/>
                    <w:tr2bl w:val="nil"/>
                  </w:tcBorders>
                  <w:vAlign w:val="center"/>
                </w:tcPr>
                <w:p>
                  <w:pPr>
                    <w:spacing w:line="400" w:lineRule="exact"/>
                    <w:jc w:val="center"/>
                  </w:pPr>
                  <w:r>
                    <w:rPr>
                      <w:rFonts w:hint="eastAsia" w:ascii="宋体" w:hAnsi="宋体"/>
                    </w:rPr>
                    <w:t>≤</w:t>
                  </w:r>
                  <w:r>
                    <w:rPr>
                      <w:rFonts w:hint="eastAsia"/>
                    </w:rPr>
                    <w:t>1</w:t>
                  </w:r>
                  <w:r>
                    <w:t>.0</w:t>
                  </w:r>
                </w:p>
              </w:tc>
              <w:tc>
                <w:tcPr>
                  <w:tcW w:w="1133" w:type="dxa"/>
                  <w:tcBorders>
                    <w:tl2br w:val="nil"/>
                    <w:tr2bl w:val="nil"/>
                  </w:tcBorders>
                  <w:vAlign w:val="center"/>
                </w:tcPr>
                <w:p>
                  <w:pPr>
                    <w:spacing w:line="400" w:lineRule="exact"/>
                    <w:jc w:val="center"/>
                  </w:pPr>
                  <w:r>
                    <w:rPr>
                      <w:rFonts w:hint="eastAsia" w:ascii="宋体" w:hAnsi="宋体"/>
                    </w:rPr>
                    <w:t>≤</w:t>
                  </w:r>
                  <w:r>
                    <w:rPr>
                      <w:rFonts w:hint="eastAsia"/>
                    </w:rPr>
                    <w:t>0</w:t>
                  </w:r>
                  <w:r>
                    <w:t>.2</w:t>
                  </w:r>
                </w:p>
              </w:tc>
            </w:tr>
          </w:tbl>
          <w:p>
            <w:pPr>
              <w:spacing w:line="480" w:lineRule="exact"/>
              <w:ind w:firstLine="420" w:firstLineChars="200"/>
            </w:pPr>
            <w:r>
              <w:t>根据《江苏省地表水（环境）功能区划（2021-2030年）》，本项目纳污水体武南河执行《地表水环境质量标准》（GB3838-2002）中Ⅲ类水质标准。由上表可知，武南河水环境监测断面中监测因子均达到了《地表水环境质量标准》（GB3838-2002）Ⅲ类标准，水质良好，项目纳污水体武南河尚有一定的环境余量。</w:t>
            </w:r>
          </w:p>
          <w:p>
            <w:pPr>
              <w:spacing w:line="480" w:lineRule="exact"/>
              <w:ind w:firstLine="420" w:firstLineChars="200"/>
            </w:pPr>
            <w:r>
              <w:t>引用数据的有效性分析：本项目引用的检测数据位于评价范围内，且检测数据均在3年之内，项目所在地区域内污染源未发生重大变化，符合有效性原则；本次引用的检测因子与本项目产生的污染因子较为吻合，故引用数据较为合理</w:t>
            </w:r>
            <w:r>
              <w:rPr>
                <w:rFonts w:hint="eastAsia"/>
              </w:rPr>
              <w:t>。</w:t>
            </w:r>
          </w:p>
          <w:bookmarkEnd w:id="2"/>
          <w:bookmarkEnd w:id="3"/>
          <w:bookmarkEnd w:id="4"/>
          <w:bookmarkEnd w:id="5"/>
          <w:bookmarkEnd w:id="6"/>
          <w:bookmarkEnd w:id="7"/>
          <w:bookmarkEnd w:id="8"/>
          <w:bookmarkEnd w:id="9"/>
          <w:bookmarkEnd w:id="10"/>
          <w:bookmarkEnd w:id="11"/>
          <w:p>
            <w:pPr>
              <w:widowControl/>
              <w:spacing w:line="480" w:lineRule="exact"/>
              <w:ind w:firstLine="420" w:firstLineChars="200"/>
              <w:jc w:val="left"/>
              <w:rPr>
                <w:szCs w:val="21"/>
              </w:rPr>
            </w:pPr>
            <w:r>
              <w:rPr>
                <w:rFonts w:hint="eastAsia"/>
                <w:szCs w:val="21"/>
              </w:rPr>
              <w:t xml:space="preserve">2、环境空气质量现状 </w:t>
            </w:r>
          </w:p>
          <w:p>
            <w:pPr>
              <w:widowControl/>
              <w:spacing w:line="480" w:lineRule="exact"/>
              <w:ind w:firstLine="420" w:firstLineChars="200"/>
              <w:jc w:val="left"/>
              <w:rPr>
                <w:rFonts w:hint="eastAsia" w:ascii="Times New Roman" w:hAnsi="Times New Roman"/>
                <w:szCs w:val="21"/>
              </w:rPr>
            </w:pPr>
            <w:r>
              <w:rPr>
                <w:rFonts w:hint="eastAsia" w:ascii="Times New Roman" w:hAnsi="Times New Roman"/>
                <w:szCs w:val="21"/>
              </w:rPr>
              <w:t>a.达标区判定</w:t>
            </w:r>
          </w:p>
          <w:p>
            <w:pPr>
              <w:widowControl/>
              <w:spacing w:line="480" w:lineRule="exact"/>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szCs w:val="21"/>
              </w:rPr>
              <w:t>根据《环境影响评价技术导则大气环境》（HJ2.2-2018），项目所在区域达标情况判定优先采用国家或地方生态环境主管部门公开发布的环境质量报告或环境质量报告书中的数据或结论。根据《</w:t>
            </w:r>
            <w:r>
              <w:rPr>
                <w:rFonts w:hint="eastAsia" w:ascii="Times New Roman" w:hAnsi="Times New Roman"/>
              </w:rPr>
              <w:t>202</w:t>
            </w:r>
            <w:r>
              <w:rPr>
                <w:rFonts w:hint="eastAsia" w:ascii="Times New Roman" w:hAnsi="Times New Roman"/>
                <w:lang w:val="en-US" w:eastAsia="zh-CN"/>
              </w:rPr>
              <w:t>3</w:t>
            </w:r>
            <w:r>
              <w:rPr>
                <w:rFonts w:hint="eastAsia" w:ascii="Times New Roman" w:hAnsi="Times New Roman"/>
              </w:rPr>
              <w:t>年常州市生态环境状况公报</w:t>
            </w:r>
            <w:r>
              <w:rPr>
                <w:rFonts w:ascii="Times New Roman" w:hAnsi="Times New Roman"/>
                <w:szCs w:val="21"/>
              </w:rPr>
              <w:t>》</w:t>
            </w:r>
            <w:r>
              <w:rPr>
                <w:rFonts w:hint="eastAsia" w:ascii="Times New Roman" w:hAnsi="Times New Roman"/>
                <w:szCs w:val="21"/>
              </w:rPr>
              <w:t>，</w:t>
            </w:r>
            <w:r>
              <w:rPr>
                <w:rFonts w:ascii="Times New Roman" w:hAnsi="Times New Roman"/>
                <w:szCs w:val="21"/>
              </w:rPr>
              <w:t>202</w:t>
            </w:r>
            <w:r>
              <w:rPr>
                <w:rFonts w:hint="eastAsia" w:ascii="Times New Roman" w:hAnsi="Times New Roman"/>
                <w:szCs w:val="21"/>
                <w:lang w:val="en-US" w:eastAsia="zh-CN"/>
              </w:rPr>
              <w:t>3</w:t>
            </w:r>
            <w:r>
              <w:rPr>
                <w:rFonts w:ascii="Times New Roman" w:hAnsi="Times New Roman"/>
                <w:szCs w:val="21"/>
              </w:rPr>
              <w:t>年常州</w:t>
            </w:r>
            <w:r>
              <w:rPr>
                <w:rFonts w:hint="eastAsia" w:ascii="Times New Roman" w:hAnsi="Times New Roman"/>
                <w:szCs w:val="21"/>
              </w:rPr>
              <w:t>全市及钟楼区</w:t>
            </w:r>
            <w:r>
              <w:rPr>
                <w:rFonts w:ascii="Times New Roman" w:hAnsi="Times New Roman"/>
                <w:szCs w:val="21"/>
              </w:rPr>
              <w:t>环境空气中SO</w:t>
            </w:r>
            <w:r>
              <w:rPr>
                <w:rFonts w:ascii="Times New Roman" w:hAnsi="Times New Roman"/>
                <w:szCs w:val="21"/>
                <w:vertAlign w:val="subscript"/>
              </w:rPr>
              <w:t>2</w:t>
            </w:r>
            <w:r>
              <w:rPr>
                <w:rFonts w:ascii="Times New Roman" w:hAnsi="Times New Roman"/>
                <w:szCs w:val="21"/>
              </w:rPr>
              <w:t>、</w:t>
            </w:r>
            <w:r>
              <w:rPr>
                <w:rFonts w:ascii="Times New Roman" w:hAnsi="Times New Roman"/>
                <w:color w:val="000000" w:themeColor="text1"/>
                <w:szCs w:val="21"/>
                <w14:textFill>
                  <w14:solidFill>
                    <w14:schemeClr w14:val="tx1"/>
                  </w14:solidFill>
                </w14:textFill>
              </w:rPr>
              <w:t>NO</w:t>
            </w:r>
            <w:r>
              <w:rPr>
                <w:rFonts w:ascii="Times New Roman" w:hAnsi="Times New Roman"/>
                <w:color w:val="000000" w:themeColor="text1"/>
                <w:szCs w:val="21"/>
                <w:vertAlign w:val="subscript"/>
                <w14:textFill>
                  <w14:solidFill>
                    <w14:schemeClr w14:val="tx1"/>
                  </w14:solidFill>
                </w14:textFill>
              </w:rPr>
              <w:t>2</w:t>
            </w:r>
            <w:r>
              <w:rPr>
                <w:rFonts w:ascii="Times New Roman" w:hAnsi="Times New Roman"/>
                <w:color w:val="000000" w:themeColor="text1"/>
                <w:szCs w:val="21"/>
                <w14:textFill>
                  <w14:solidFill>
                    <w14:schemeClr w14:val="tx1"/>
                  </w14:solidFill>
                </w14:textFill>
              </w:rPr>
              <w:t>、颗粒物（PM</w:t>
            </w:r>
            <w:r>
              <w:rPr>
                <w:rFonts w:ascii="Times New Roman" w:hAnsi="Times New Roman"/>
                <w:color w:val="000000" w:themeColor="text1"/>
                <w:szCs w:val="21"/>
                <w:vertAlign w:val="subscript"/>
                <w14:textFill>
                  <w14:solidFill>
                    <w14:schemeClr w14:val="tx1"/>
                  </w14:solidFill>
                </w14:textFill>
              </w:rPr>
              <w:t>10</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细颗粒物（PM</w:t>
            </w:r>
            <w:r>
              <w:rPr>
                <w:rFonts w:ascii="Times New Roman" w:hAnsi="Times New Roman"/>
                <w:color w:val="000000" w:themeColor="text1"/>
                <w:szCs w:val="21"/>
                <w:vertAlign w:val="subscript"/>
                <w14:textFill>
                  <w14:solidFill>
                    <w14:schemeClr w14:val="tx1"/>
                  </w14:solidFill>
                </w14:textFill>
              </w:rPr>
              <w:t>2.5</w:t>
            </w: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、CO和</w:t>
            </w:r>
            <w:r>
              <w:rPr>
                <w:rFonts w:ascii="Times New Roman" w:hAnsi="Times New Roman"/>
                <w:color w:val="000000" w:themeColor="text1"/>
                <w:szCs w:val="21"/>
                <w14:textFill>
                  <w14:solidFill>
                    <w14:schemeClr w14:val="tx1"/>
                  </w14:solidFill>
                </w14:textFill>
              </w:rPr>
              <w:t>臭氧</w:t>
            </w:r>
            <w:r>
              <w:rPr>
                <w:rFonts w:hint="eastAsia" w:ascii="Times New Roman" w:hAnsi="Times New Roman"/>
                <w:color w:val="000000" w:themeColor="text1"/>
                <w:szCs w:val="21"/>
                <w14:textFill>
                  <w14:solidFill>
                    <w14:schemeClr w14:val="tx1"/>
                  </w14:solidFill>
                </w14:textFill>
              </w:rPr>
              <w:t>质量浓度</w:t>
            </w:r>
            <w:r>
              <w:rPr>
                <w:rFonts w:ascii="Times New Roman" w:hAnsi="Times New Roman"/>
                <w:color w:val="000000" w:themeColor="text1"/>
                <w:szCs w:val="21"/>
                <w14:textFill>
                  <w14:solidFill>
                    <w14:schemeClr w14:val="tx1"/>
                  </w14:solidFill>
                </w14:textFill>
              </w:rPr>
              <w:t>具体数值见表3</w:t>
            </w:r>
            <w:r>
              <w:rPr>
                <w:rFonts w:hint="eastAsia" w:ascii="Times New Roman" w:hAnsi="Times New Roman"/>
                <w:color w:val="000000" w:themeColor="text1"/>
                <w:szCs w:val="21"/>
                <w14:textFill>
                  <w14:solidFill>
                    <w14:schemeClr w14:val="tx1"/>
                  </w14:solidFill>
                </w14:textFill>
              </w:rPr>
              <w:t>-1</w:t>
            </w:r>
            <w:r>
              <w:rPr>
                <w:rFonts w:ascii="Times New Roman" w:hAnsi="Times New Roman"/>
                <w:color w:val="000000" w:themeColor="text1"/>
                <w:szCs w:val="21"/>
                <w14:textFill>
                  <w14:solidFill>
                    <w14:schemeClr w14:val="tx1"/>
                  </w14:solidFill>
                </w14:textFill>
              </w:rPr>
              <w:t>。</w:t>
            </w:r>
          </w:p>
          <w:p>
            <w:pPr>
              <w:tabs>
                <w:tab w:val="left" w:pos="2425"/>
                <w:tab w:val="left" w:pos="5979"/>
              </w:tabs>
              <w:spacing w:line="400" w:lineRule="exact"/>
              <w:jc w:val="center"/>
              <w:rPr>
                <w:rFonts w:ascii="Times New Roman" w:hAnsi="Times New Roman"/>
                <w:b/>
                <w:bCs/>
                <w:color w:val="000000" w:themeColor="text1"/>
                <w:sz w:val="18"/>
                <w:szCs w:val="18"/>
                <w14:textFill>
                  <w14:solidFill>
                    <w14:schemeClr w14:val="tx1"/>
                  </w14:solidFill>
                </w14:textFill>
              </w:rPr>
            </w:pPr>
            <w:r>
              <w:rPr>
                <w:rFonts w:ascii="Times New Roman" w:hAnsi="Times New Roman"/>
                <w:b/>
                <w:bCs/>
                <w:color w:val="000000" w:themeColor="text1"/>
                <w:sz w:val="18"/>
                <w:szCs w:val="18"/>
                <w14:textFill>
                  <w14:solidFill>
                    <w14:schemeClr w14:val="tx1"/>
                  </w14:solidFill>
                </w14:textFill>
              </w:rPr>
              <w:t>表3</w:t>
            </w:r>
            <w:r>
              <w:rPr>
                <w:rFonts w:hint="eastAsia" w:ascii="Times New Roman" w:hAnsi="Times New Roman"/>
                <w:b/>
                <w:bCs/>
                <w:color w:val="000000" w:themeColor="text1"/>
                <w:sz w:val="18"/>
                <w:szCs w:val="18"/>
                <w14:textFill>
                  <w14:solidFill>
                    <w14:schemeClr w14:val="tx1"/>
                  </w14:solidFill>
                </w14:textFill>
              </w:rPr>
              <w:t>-1</w:t>
            </w:r>
            <w:r>
              <w:rPr>
                <w:rFonts w:ascii="Times New Roman" w:hAnsi="Times New Roman"/>
                <w:b/>
                <w:bCs/>
                <w:color w:val="000000" w:themeColor="text1"/>
                <w:sz w:val="18"/>
                <w:szCs w:val="18"/>
                <w14:textFill>
                  <w14:solidFill>
                    <w14:schemeClr w14:val="tx1"/>
                  </w14:solidFill>
                </w14:textFill>
              </w:rPr>
              <w:t xml:space="preserve"> </w:t>
            </w:r>
            <w:r>
              <w:rPr>
                <w:rFonts w:hint="eastAsia" w:ascii="Times New Roman" w:hAnsi="Times New Roman"/>
                <w:b/>
                <w:bCs/>
                <w:color w:val="000000" w:themeColor="text1"/>
                <w:sz w:val="18"/>
                <w:szCs w:val="18"/>
                <w14:textFill>
                  <w14:solidFill>
                    <w14:schemeClr w14:val="tx1"/>
                  </w14:solidFill>
                </w14:textFill>
              </w:rPr>
              <w:t>常州市</w:t>
            </w:r>
            <w:r>
              <w:rPr>
                <w:rFonts w:ascii="Times New Roman" w:hAnsi="Times New Roman"/>
                <w:b/>
                <w:bCs/>
                <w:color w:val="000000" w:themeColor="text1"/>
                <w:sz w:val="18"/>
                <w:szCs w:val="18"/>
                <w14:textFill>
                  <w14:solidFill>
                    <w14:schemeClr w14:val="tx1"/>
                  </w14:solidFill>
                </w14:textFill>
              </w:rPr>
              <w:t xml:space="preserve">环境空气质量现状表   </w:t>
            </w:r>
          </w:p>
          <w:tbl>
            <w:tblPr>
              <w:tblStyle w:val="21"/>
              <w:tblW w:w="7970"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78"/>
              <w:gridCol w:w="778"/>
              <w:gridCol w:w="2212"/>
              <w:gridCol w:w="1499"/>
              <w:gridCol w:w="1036"/>
              <w:gridCol w:w="166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778" w:type="dxa"/>
                  <w:noWrap w:val="0"/>
                  <w:vAlign w:val="center"/>
                </w:tcPr>
                <w:p>
                  <w:pPr>
                    <w:widowControl/>
                    <w:adjustRightInd w:val="0"/>
                    <w:jc w:val="center"/>
                    <w:rPr>
                      <w:rFonts w:hint="eastAsia"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区域</w:t>
                  </w:r>
                </w:p>
              </w:tc>
              <w:tc>
                <w:tcPr>
                  <w:tcW w:w="778" w:type="dxa"/>
                  <w:noWrap w:val="0"/>
                  <w:vAlign w:val="center"/>
                </w:tcPr>
                <w:p>
                  <w:pPr>
                    <w:widowControl/>
                    <w:adjustRightInd w:val="0"/>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污染物</w:t>
                  </w:r>
                </w:p>
              </w:tc>
              <w:tc>
                <w:tcPr>
                  <w:tcW w:w="2212" w:type="dxa"/>
                  <w:noWrap w:val="0"/>
                  <w:vAlign w:val="center"/>
                </w:tcPr>
                <w:p>
                  <w:pPr>
                    <w:widowControl/>
                    <w:adjustRightInd w:val="0"/>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年评价指标</w:t>
                  </w:r>
                </w:p>
              </w:tc>
              <w:tc>
                <w:tcPr>
                  <w:tcW w:w="1499" w:type="dxa"/>
                  <w:noWrap w:val="0"/>
                  <w:vAlign w:val="center"/>
                </w:tcPr>
                <w:p>
                  <w:pPr>
                    <w:widowControl/>
                    <w:adjustRightInd w:val="0"/>
                    <w:jc w:val="center"/>
                    <w:rPr>
                      <w:rFonts w:ascii="Times New Roman" w:hAnsi="Times New Roman"/>
                      <w:b/>
                      <w:color w:val="000000" w:themeColor="text1"/>
                      <w:kern w:val="0"/>
                      <w:sz w:val="18"/>
                      <w:szCs w:val="18"/>
                      <w14:textFill>
                        <w14:solidFill>
                          <w14:schemeClr w14:val="tx1"/>
                        </w14:solidFill>
                      </w14:textFill>
                    </w:rPr>
                  </w:pPr>
                  <w:r>
                    <w:rPr>
                      <w:rFonts w:hint="eastAsia" w:ascii="Times New Roman" w:hAnsi="Times New Roman"/>
                      <w:b/>
                      <w:color w:val="000000" w:themeColor="text1"/>
                      <w:kern w:val="0"/>
                      <w:sz w:val="18"/>
                      <w:szCs w:val="18"/>
                      <w14:textFill>
                        <w14:solidFill>
                          <w14:schemeClr w14:val="tx1"/>
                        </w14:solidFill>
                      </w14:textFill>
                    </w:rPr>
                    <w:t>监测</w:t>
                  </w:r>
                  <w:r>
                    <w:rPr>
                      <w:rFonts w:ascii="Times New Roman" w:hAnsi="Times New Roman"/>
                      <w:b/>
                      <w:color w:val="000000" w:themeColor="text1"/>
                      <w:kern w:val="0"/>
                      <w:sz w:val="18"/>
                      <w:szCs w:val="18"/>
                      <w14:textFill>
                        <w14:solidFill>
                          <w14:schemeClr w14:val="tx1"/>
                        </w14:solidFill>
                      </w14:textFill>
                    </w:rPr>
                    <w:t>浓度</w:t>
                  </w:r>
                  <w:r>
                    <w:rPr>
                      <w:rFonts w:ascii="Times New Roman" w:hAnsi="Times New Roman"/>
                      <w:b/>
                      <w:bCs/>
                      <w:color w:val="000000" w:themeColor="text1"/>
                      <w:sz w:val="18"/>
                      <w:szCs w:val="18"/>
                      <w14:textFill>
                        <w14:solidFill>
                          <w14:schemeClr w14:val="tx1"/>
                        </w14:solidFill>
                      </w14:textFill>
                    </w:rPr>
                    <w:t>μg/m</w:t>
                  </w:r>
                  <w:r>
                    <w:rPr>
                      <w:rFonts w:ascii="Times New Roman" w:hAnsi="Times New Roman"/>
                      <w:b/>
                      <w:bCs/>
                      <w:color w:val="000000" w:themeColor="text1"/>
                      <w:sz w:val="18"/>
                      <w:szCs w:val="18"/>
                      <w:vertAlign w:val="superscript"/>
                      <w14:textFill>
                        <w14:solidFill>
                          <w14:schemeClr w14:val="tx1"/>
                        </w14:solidFill>
                      </w14:textFill>
                    </w:rPr>
                    <w:t>3</w:t>
                  </w:r>
                </w:p>
              </w:tc>
              <w:tc>
                <w:tcPr>
                  <w:tcW w:w="1036" w:type="dxa"/>
                  <w:noWrap w:val="0"/>
                  <w:vAlign w:val="center"/>
                </w:tcPr>
                <w:p>
                  <w:pPr>
                    <w:widowControl/>
                    <w:adjustRightInd w:val="0"/>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标准值</w:t>
                  </w:r>
                  <w:r>
                    <w:rPr>
                      <w:rFonts w:ascii="Times New Roman" w:hAnsi="Times New Roman"/>
                      <w:b/>
                      <w:bCs/>
                      <w:color w:val="000000" w:themeColor="text1"/>
                      <w:sz w:val="18"/>
                      <w:szCs w:val="18"/>
                      <w14:textFill>
                        <w14:solidFill>
                          <w14:schemeClr w14:val="tx1"/>
                        </w14:solidFill>
                      </w14:textFill>
                    </w:rPr>
                    <w:t>μg/m</w:t>
                  </w:r>
                  <w:r>
                    <w:rPr>
                      <w:rFonts w:ascii="Times New Roman" w:hAnsi="Times New Roman"/>
                      <w:b/>
                      <w:bCs/>
                      <w:color w:val="000000" w:themeColor="text1"/>
                      <w:sz w:val="18"/>
                      <w:szCs w:val="18"/>
                      <w:vertAlign w:val="superscript"/>
                      <w14:textFill>
                        <w14:solidFill>
                          <w14:schemeClr w14:val="tx1"/>
                        </w14:solidFill>
                      </w14:textFill>
                    </w:rPr>
                    <w:t>3</w:t>
                  </w:r>
                </w:p>
              </w:tc>
              <w:tc>
                <w:tcPr>
                  <w:tcW w:w="1667" w:type="dxa"/>
                  <w:noWrap w:val="0"/>
                  <w:vAlign w:val="center"/>
                </w:tcPr>
                <w:p>
                  <w:pPr>
                    <w:widowControl/>
                    <w:adjustRightInd w:val="0"/>
                    <w:jc w:val="center"/>
                    <w:rPr>
                      <w:rFonts w:ascii="Times New Roman" w:hAnsi="Times New Roman"/>
                      <w:b/>
                      <w:color w:val="000000" w:themeColor="text1"/>
                      <w:kern w:val="0"/>
                      <w:sz w:val="18"/>
                      <w:szCs w:val="18"/>
                      <w14:textFill>
                        <w14:solidFill>
                          <w14:schemeClr w14:val="tx1"/>
                        </w14:solidFill>
                      </w14:textFill>
                    </w:rPr>
                  </w:pPr>
                  <w:r>
                    <w:rPr>
                      <w:rFonts w:ascii="Times New Roman" w:hAnsi="Times New Roman"/>
                      <w:b/>
                      <w:color w:val="000000" w:themeColor="text1"/>
                      <w:kern w:val="0"/>
                      <w:sz w:val="18"/>
                      <w:szCs w:val="18"/>
                      <w14:textFill>
                        <w14:solidFill>
                          <w14:schemeClr w14:val="tx1"/>
                        </w14:solidFill>
                      </w14:textFill>
                    </w:rPr>
                    <w:t>达标情况</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778" w:type="dxa"/>
                  <w:vMerge w:val="restart"/>
                  <w:noWrap w:val="0"/>
                  <w:vAlign w:val="center"/>
                </w:tcPr>
                <w:p>
                  <w:pPr>
                    <w:widowControl/>
                    <w:adjustRightInd w:val="0"/>
                    <w:jc w:val="center"/>
                    <w:rPr>
                      <w:rFonts w:hint="eastAsia"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常州</w:t>
                  </w:r>
                </w:p>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全市</w:t>
                  </w:r>
                </w:p>
              </w:tc>
              <w:tc>
                <w:tcPr>
                  <w:tcW w:w="778" w:type="dxa"/>
                  <w:vMerge w:val="restart"/>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SO</w:t>
                  </w:r>
                  <w:r>
                    <w:rPr>
                      <w:rFonts w:ascii="Times New Roman" w:hAnsi="Times New Roman"/>
                      <w:color w:val="000000" w:themeColor="text1"/>
                      <w:kern w:val="0"/>
                      <w:sz w:val="18"/>
                      <w:szCs w:val="18"/>
                      <w:vertAlign w:val="subscript"/>
                      <w14:textFill>
                        <w14:solidFill>
                          <w14:schemeClr w14:val="tx1"/>
                        </w14:solidFill>
                      </w14:textFill>
                    </w:rPr>
                    <w:t>2</w:t>
                  </w:r>
                </w:p>
              </w:tc>
              <w:tc>
                <w:tcPr>
                  <w:tcW w:w="2212"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年平均质量浓度</w:t>
                  </w:r>
                </w:p>
              </w:tc>
              <w:tc>
                <w:tcPr>
                  <w:tcW w:w="1499" w:type="dxa"/>
                  <w:noWrap w:val="0"/>
                  <w:vAlign w:val="center"/>
                </w:tcPr>
                <w:p>
                  <w:pPr>
                    <w:widowControl/>
                    <w:adjustRightInd w:val="0"/>
                    <w:jc w:val="center"/>
                    <w:rPr>
                      <w:rFonts w:hint="eastAsia" w:ascii="Times New Roman" w:hAnsi="Times New Roman" w:eastAsia="宋体"/>
                      <w:color w:val="000000" w:themeColor="text1"/>
                      <w:kern w:val="0"/>
                      <w:sz w:val="18"/>
                      <w:szCs w:val="18"/>
                      <w:lang w:eastAsia="zh-CN"/>
                      <w14:textFill>
                        <w14:solidFill>
                          <w14:schemeClr w14:val="tx1"/>
                        </w14:solidFill>
                      </w14:textFill>
                    </w:rPr>
                  </w:pPr>
                  <w:r>
                    <w:rPr>
                      <w:rFonts w:hint="eastAsia" w:ascii="Times New Roman" w:hAnsi="Times New Roman"/>
                      <w:color w:val="000000" w:themeColor="text1"/>
                      <w:kern w:val="0"/>
                      <w:sz w:val="18"/>
                      <w:szCs w:val="18"/>
                      <w:lang w:val="en-US" w:eastAsia="zh-CN"/>
                      <w14:textFill>
                        <w14:solidFill>
                          <w14:schemeClr w14:val="tx1"/>
                        </w14:solidFill>
                      </w14:textFill>
                    </w:rPr>
                    <w:t>8</w:t>
                  </w:r>
                </w:p>
              </w:tc>
              <w:tc>
                <w:tcPr>
                  <w:tcW w:w="1036"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60</w:t>
                  </w:r>
                </w:p>
              </w:tc>
              <w:tc>
                <w:tcPr>
                  <w:tcW w:w="1667"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达标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778" w:type="dxa"/>
                  <w:vMerge w:val="continue"/>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p>
              </w:tc>
              <w:tc>
                <w:tcPr>
                  <w:tcW w:w="778" w:type="dxa"/>
                  <w:vMerge w:val="continue"/>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p>
              </w:tc>
              <w:tc>
                <w:tcPr>
                  <w:tcW w:w="2212" w:type="dxa"/>
                  <w:noWrap w:val="0"/>
                  <w:vAlign w:val="center"/>
                </w:tcPr>
                <w:p>
                  <w:pPr>
                    <w:widowControl/>
                    <w:adjustRightInd w:val="0"/>
                    <w:jc w:val="center"/>
                    <w:rPr>
                      <w:rFonts w:hint="eastAsia"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日</w:t>
                  </w:r>
                  <w:r>
                    <w:rPr>
                      <w:rFonts w:ascii="Times New Roman" w:hAnsi="Times New Roman"/>
                      <w:color w:val="000000" w:themeColor="text1"/>
                      <w:kern w:val="0"/>
                      <w:sz w:val="18"/>
                      <w:szCs w:val="18"/>
                      <w14:textFill>
                        <w14:solidFill>
                          <w14:schemeClr w14:val="tx1"/>
                        </w14:solidFill>
                      </w14:textFill>
                    </w:rPr>
                    <w:t>平均质量浓度</w:t>
                  </w:r>
                  <w:r>
                    <w:rPr>
                      <w:rFonts w:hint="eastAsia" w:ascii="Times New Roman" w:hAnsi="Times New Roman"/>
                      <w:color w:val="000000" w:themeColor="text1"/>
                      <w:kern w:val="0"/>
                      <w:sz w:val="18"/>
                      <w:szCs w:val="18"/>
                      <w14:textFill>
                        <w14:solidFill>
                          <w14:schemeClr w14:val="tx1"/>
                        </w14:solidFill>
                      </w14:textFill>
                    </w:rPr>
                    <w:t>范围</w:t>
                  </w:r>
                </w:p>
              </w:tc>
              <w:tc>
                <w:tcPr>
                  <w:tcW w:w="1499" w:type="dxa"/>
                  <w:noWrap w:val="0"/>
                  <w:vAlign w:val="center"/>
                </w:tcPr>
                <w:p>
                  <w:pPr>
                    <w:widowControl/>
                    <w:adjustRightInd w:val="0"/>
                    <w:jc w:val="center"/>
                    <w:rPr>
                      <w:rFonts w:hint="eastAsia" w:ascii="Times New Roman" w:hAnsi="Times New Roman" w:eastAsia="宋体"/>
                      <w:color w:val="000000" w:themeColor="text1"/>
                      <w:kern w:val="0"/>
                      <w:sz w:val="18"/>
                      <w:szCs w:val="18"/>
                      <w:lang w:eastAsia="zh-CN"/>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4-1</w:t>
                  </w:r>
                  <w:r>
                    <w:rPr>
                      <w:rFonts w:hint="eastAsia" w:ascii="Times New Roman" w:hAnsi="Times New Roman"/>
                      <w:color w:val="000000" w:themeColor="text1"/>
                      <w:kern w:val="0"/>
                      <w:sz w:val="18"/>
                      <w:szCs w:val="18"/>
                      <w:lang w:val="en-US" w:eastAsia="zh-CN"/>
                      <w14:textFill>
                        <w14:solidFill>
                          <w14:schemeClr w14:val="tx1"/>
                        </w14:solidFill>
                      </w14:textFill>
                    </w:rPr>
                    <w:t>7</w:t>
                  </w:r>
                </w:p>
              </w:tc>
              <w:tc>
                <w:tcPr>
                  <w:tcW w:w="1036"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150</w:t>
                  </w:r>
                </w:p>
              </w:tc>
              <w:tc>
                <w:tcPr>
                  <w:tcW w:w="1667"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日均值</w:t>
                  </w:r>
                  <w:r>
                    <w:rPr>
                      <w:rFonts w:ascii="Times New Roman" w:hAnsi="Times New Roman"/>
                      <w:color w:val="000000" w:themeColor="text1"/>
                      <w:kern w:val="0"/>
                      <w:sz w:val="18"/>
                      <w:szCs w:val="18"/>
                      <w14:textFill>
                        <w14:solidFill>
                          <w14:schemeClr w14:val="tx1"/>
                        </w14:solidFill>
                      </w14:textFill>
                    </w:rPr>
                    <w:t>达标</w:t>
                  </w:r>
                  <w:r>
                    <w:rPr>
                      <w:rFonts w:hint="eastAsia" w:ascii="Times New Roman" w:hAnsi="Times New Roman"/>
                      <w:color w:val="000000" w:themeColor="text1"/>
                      <w:kern w:val="0"/>
                      <w:sz w:val="18"/>
                      <w:szCs w:val="18"/>
                      <w14:textFill>
                        <w14:solidFill>
                          <w14:schemeClr w14:val="tx1"/>
                        </w14:solidFill>
                      </w14:textFill>
                    </w:rPr>
                    <w:t>率100%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778" w:type="dxa"/>
                  <w:vMerge w:val="continue"/>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p>
              </w:tc>
              <w:tc>
                <w:tcPr>
                  <w:tcW w:w="778" w:type="dxa"/>
                  <w:vMerge w:val="restart"/>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NO</w:t>
                  </w:r>
                  <w:r>
                    <w:rPr>
                      <w:rFonts w:ascii="Times New Roman" w:hAnsi="Times New Roman"/>
                      <w:color w:val="000000" w:themeColor="text1"/>
                      <w:kern w:val="0"/>
                      <w:sz w:val="18"/>
                      <w:szCs w:val="18"/>
                      <w:vertAlign w:val="subscript"/>
                      <w14:textFill>
                        <w14:solidFill>
                          <w14:schemeClr w14:val="tx1"/>
                        </w14:solidFill>
                      </w14:textFill>
                    </w:rPr>
                    <w:t>2</w:t>
                  </w:r>
                </w:p>
              </w:tc>
              <w:tc>
                <w:tcPr>
                  <w:tcW w:w="2212"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年平均质量浓度</w:t>
                  </w:r>
                </w:p>
              </w:tc>
              <w:tc>
                <w:tcPr>
                  <w:tcW w:w="1499" w:type="dxa"/>
                  <w:noWrap w:val="0"/>
                  <w:vAlign w:val="center"/>
                </w:tcPr>
                <w:p>
                  <w:pPr>
                    <w:widowControl/>
                    <w:adjustRightInd w:val="0"/>
                    <w:jc w:val="center"/>
                    <w:rPr>
                      <w:rFonts w:hint="default" w:ascii="Times New Roman" w:hAnsi="Times New Roman" w:eastAsia="宋体"/>
                      <w:color w:val="000000" w:themeColor="text1"/>
                      <w:kern w:val="0"/>
                      <w:sz w:val="18"/>
                      <w:szCs w:val="18"/>
                      <w:lang w:val="en-US" w:eastAsia="zh-CN"/>
                      <w14:textFill>
                        <w14:solidFill>
                          <w14:schemeClr w14:val="tx1"/>
                        </w14:solidFill>
                      </w14:textFill>
                    </w:rPr>
                  </w:pPr>
                  <w:r>
                    <w:rPr>
                      <w:rFonts w:hint="eastAsia" w:ascii="Times New Roman" w:hAnsi="Times New Roman"/>
                      <w:color w:val="000000" w:themeColor="text1"/>
                      <w:kern w:val="0"/>
                      <w:sz w:val="18"/>
                      <w:szCs w:val="18"/>
                      <w:lang w:val="en-US" w:eastAsia="zh-CN"/>
                      <w14:textFill>
                        <w14:solidFill>
                          <w14:schemeClr w14:val="tx1"/>
                        </w14:solidFill>
                      </w14:textFill>
                    </w:rPr>
                    <w:t>30</w:t>
                  </w:r>
                </w:p>
              </w:tc>
              <w:tc>
                <w:tcPr>
                  <w:tcW w:w="1036"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w:t>
                  </w:r>
                </w:p>
              </w:tc>
              <w:tc>
                <w:tcPr>
                  <w:tcW w:w="1667"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达标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778" w:type="dxa"/>
                  <w:vMerge w:val="continue"/>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p>
              </w:tc>
              <w:tc>
                <w:tcPr>
                  <w:tcW w:w="778" w:type="dxa"/>
                  <w:vMerge w:val="continue"/>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p>
              </w:tc>
              <w:tc>
                <w:tcPr>
                  <w:tcW w:w="2212"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日</w:t>
                  </w:r>
                  <w:r>
                    <w:rPr>
                      <w:rFonts w:ascii="Times New Roman" w:hAnsi="Times New Roman"/>
                      <w:color w:val="000000" w:themeColor="text1"/>
                      <w:kern w:val="0"/>
                      <w:sz w:val="18"/>
                      <w:szCs w:val="18"/>
                      <w14:textFill>
                        <w14:solidFill>
                          <w14:schemeClr w14:val="tx1"/>
                        </w14:solidFill>
                      </w14:textFill>
                    </w:rPr>
                    <w:t>平均质量浓度</w:t>
                  </w:r>
                  <w:r>
                    <w:rPr>
                      <w:rFonts w:hint="eastAsia" w:ascii="Times New Roman" w:hAnsi="Times New Roman"/>
                      <w:color w:val="000000" w:themeColor="text1"/>
                      <w:kern w:val="0"/>
                      <w:sz w:val="18"/>
                      <w:szCs w:val="18"/>
                      <w14:textFill>
                        <w14:solidFill>
                          <w14:schemeClr w14:val="tx1"/>
                        </w14:solidFill>
                      </w14:textFill>
                    </w:rPr>
                    <w:t>范围</w:t>
                  </w:r>
                </w:p>
              </w:tc>
              <w:tc>
                <w:tcPr>
                  <w:tcW w:w="1499" w:type="dxa"/>
                  <w:noWrap w:val="0"/>
                  <w:vAlign w:val="center"/>
                </w:tcPr>
                <w:p>
                  <w:pPr>
                    <w:widowControl/>
                    <w:adjustRightInd w:val="0"/>
                    <w:jc w:val="center"/>
                    <w:rPr>
                      <w:rFonts w:hint="default" w:ascii="Times New Roman" w:hAnsi="Times New Roman" w:eastAsia="宋体"/>
                      <w:color w:val="000000" w:themeColor="text1"/>
                      <w:kern w:val="0"/>
                      <w:sz w:val="18"/>
                      <w:szCs w:val="18"/>
                      <w:lang w:val="en-US" w:eastAsia="zh-CN"/>
                      <w14:textFill>
                        <w14:solidFill>
                          <w14:schemeClr w14:val="tx1"/>
                        </w14:solidFill>
                      </w14:textFill>
                    </w:rPr>
                  </w:pPr>
                  <w:r>
                    <w:rPr>
                      <w:rFonts w:hint="eastAsia" w:ascii="Times New Roman" w:hAnsi="Times New Roman"/>
                      <w:color w:val="000000" w:themeColor="text1"/>
                      <w:kern w:val="0"/>
                      <w:sz w:val="18"/>
                      <w:szCs w:val="18"/>
                      <w:lang w:val="en-US" w:eastAsia="zh-CN"/>
                      <w14:textFill>
                        <w14:solidFill>
                          <w14:schemeClr w14:val="tx1"/>
                        </w14:solidFill>
                      </w14:textFill>
                    </w:rPr>
                    <w:t>6</w:t>
                  </w:r>
                  <w:r>
                    <w:rPr>
                      <w:rFonts w:hint="eastAsia"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lang w:val="en-US" w:eastAsia="zh-CN"/>
                      <w14:textFill>
                        <w14:solidFill>
                          <w14:schemeClr w14:val="tx1"/>
                        </w14:solidFill>
                      </w14:textFill>
                    </w:rPr>
                    <w:t>106</w:t>
                  </w:r>
                </w:p>
              </w:tc>
              <w:tc>
                <w:tcPr>
                  <w:tcW w:w="1036"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80</w:t>
                  </w:r>
                </w:p>
              </w:tc>
              <w:tc>
                <w:tcPr>
                  <w:tcW w:w="1667" w:type="dxa"/>
                  <w:noWrap w:val="0"/>
                  <w:vAlign w:val="center"/>
                </w:tcPr>
                <w:p>
                  <w:pPr>
                    <w:widowControl/>
                    <w:adjustRightInd w:val="0"/>
                    <w:jc w:val="center"/>
                    <w:rPr>
                      <w:rFonts w:hint="eastAsia"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日均值</w:t>
                  </w:r>
                  <w:r>
                    <w:rPr>
                      <w:rFonts w:ascii="Times New Roman" w:hAnsi="Times New Roman"/>
                      <w:color w:val="000000" w:themeColor="text1"/>
                      <w:kern w:val="0"/>
                      <w:sz w:val="18"/>
                      <w:szCs w:val="18"/>
                      <w14:textFill>
                        <w14:solidFill>
                          <w14:schemeClr w14:val="tx1"/>
                        </w14:solidFill>
                      </w14:textFill>
                    </w:rPr>
                    <w:t>达标</w:t>
                  </w:r>
                  <w:r>
                    <w:rPr>
                      <w:rFonts w:hint="eastAsia" w:ascii="Times New Roman" w:hAnsi="Times New Roman"/>
                      <w:color w:val="000000" w:themeColor="text1"/>
                      <w:kern w:val="0"/>
                      <w:sz w:val="18"/>
                      <w:szCs w:val="18"/>
                      <w14:textFill>
                        <w14:solidFill>
                          <w14:schemeClr w14:val="tx1"/>
                        </w14:solidFill>
                      </w14:textFill>
                    </w:rPr>
                    <w:t>率9</w:t>
                  </w:r>
                  <w:r>
                    <w:rPr>
                      <w:rFonts w:hint="eastAsia" w:ascii="Times New Roman" w:hAnsi="Times New Roman"/>
                      <w:color w:val="000000" w:themeColor="text1"/>
                      <w:kern w:val="0"/>
                      <w:sz w:val="18"/>
                      <w:szCs w:val="18"/>
                      <w:lang w:val="en-US" w:eastAsia="zh-CN"/>
                      <w14:textFill>
                        <w14:solidFill>
                          <w14:schemeClr w14:val="tx1"/>
                        </w14:solidFill>
                      </w14:textFill>
                    </w:rPr>
                    <w:t>8.1</w:t>
                  </w:r>
                  <w:r>
                    <w:rPr>
                      <w:rFonts w:hint="eastAsia" w:ascii="Times New Roman" w:hAnsi="Times New Roman"/>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vertAlign w:val="superscript"/>
                      <w:lang w:bidi="ar"/>
                      <w14:textFill>
                        <w14:solidFill>
                          <w14:schemeClr w14:val="tx1"/>
                        </w14:solidFill>
                      </w14:textFill>
                    </w:rPr>
                    <w:t>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778" w:type="dxa"/>
                  <w:vMerge w:val="continue"/>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p>
              </w:tc>
              <w:tc>
                <w:tcPr>
                  <w:tcW w:w="778" w:type="dxa"/>
                  <w:vMerge w:val="restart"/>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PM</w:t>
                  </w:r>
                  <w:r>
                    <w:rPr>
                      <w:rFonts w:ascii="Times New Roman" w:hAnsi="Times New Roman"/>
                      <w:color w:val="000000" w:themeColor="text1"/>
                      <w:kern w:val="0"/>
                      <w:sz w:val="18"/>
                      <w:szCs w:val="18"/>
                      <w:vertAlign w:val="subscript"/>
                      <w14:textFill>
                        <w14:solidFill>
                          <w14:schemeClr w14:val="tx1"/>
                        </w14:solidFill>
                      </w14:textFill>
                    </w:rPr>
                    <w:t>10</w:t>
                  </w:r>
                </w:p>
              </w:tc>
              <w:tc>
                <w:tcPr>
                  <w:tcW w:w="2212"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年平均质量浓度</w:t>
                  </w:r>
                </w:p>
              </w:tc>
              <w:tc>
                <w:tcPr>
                  <w:tcW w:w="1499" w:type="dxa"/>
                  <w:noWrap w:val="0"/>
                  <w:vAlign w:val="center"/>
                </w:tcPr>
                <w:p>
                  <w:pPr>
                    <w:widowControl/>
                    <w:adjustRightInd w:val="0"/>
                    <w:jc w:val="center"/>
                    <w:rPr>
                      <w:rFonts w:hint="default" w:ascii="Times New Roman" w:hAnsi="Times New Roman" w:eastAsia="宋体"/>
                      <w:color w:val="000000" w:themeColor="text1"/>
                      <w:kern w:val="0"/>
                      <w:sz w:val="18"/>
                      <w:szCs w:val="18"/>
                      <w:lang w:val="en-US" w:eastAsia="zh-CN"/>
                      <w14:textFill>
                        <w14:solidFill>
                          <w14:schemeClr w14:val="tx1"/>
                        </w14:solidFill>
                      </w14:textFill>
                    </w:rPr>
                  </w:pPr>
                  <w:r>
                    <w:rPr>
                      <w:rFonts w:hint="eastAsia" w:ascii="Times New Roman" w:hAnsi="Times New Roman"/>
                      <w:color w:val="000000" w:themeColor="text1"/>
                      <w:kern w:val="0"/>
                      <w:sz w:val="18"/>
                      <w:szCs w:val="18"/>
                      <w:lang w:val="en-US" w:eastAsia="zh-CN"/>
                      <w14:textFill>
                        <w14:solidFill>
                          <w14:schemeClr w14:val="tx1"/>
                        </w14:solidFill>
                      </w14:textFill>
                    </w:rPr>
                    <w:t>57</w:t>
                  </w:r>
                </w:p>
              </w:tc>
              <w:tc>
                <w:tcPr>
                  <w:tcW w:w="1036"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70</w:t>
                  </w:r>
                </w:p>
              </w:tc>
              <w:tc>
                <w:tcPr>
                  <w:tcW w:w="1667"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达标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778" w:type="dxa"/>
                  <w:vMerge w:val="continue"/>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p>
              </w:tc>
              <w:tc>
                <w:tcPr>
                  <w:tcW w:w="778" w:type="dxa"/>
                  <w:vMerge w:val="continue"/>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p>
              </w:tc>
              <w:tc>
                <w:tcPr>
                  <w:tcW w:w="2212"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日</w:t>
                  </w:r>
                  <w:r>
                    <w:rPr>
                      <w:rFonts w:ascii="Times New Roman" w:hAnsi="Times New Roman"/>
                      <w:color w:val="000000" w:themeColor="text1"/>
                      <w:kern w:val="0"/>
                      <w:sz w:val="18"/>
                      <w:szCs w:val="18"/>
                      <w14:textFill>
                        <w14:solidFill>
                          <w14:schemeClr w14:val="tx1"/>
                        </w14:solidFill>
                      </w14:textFill>
                    </w:rPr>
                    <w:t>平均质量浓度</w:t>
                  </w:r>
                  <w:r>
                    <w:rPr>
                      <w:rFonts w:hint="eastAsia" w:ascii="Times New Roman" w:hAnsi="Times New Roman"/>
                      <w:color w:val="000000" w:themeColor="text1"/>
                      <w:kern w:val="0"/>
                      <w:sz w:val="18"/>
                      <w:szCs w:val="18"/>
                      <w14:textFill>
                        <w14:solidFill>
                          <w14:schemeClr w14:val="tx1"/>
                        </w14:solidFill>
                      </w14:textFill>
                    </w:rPr>
                    <w:t>范围</w:t>
                  </w:r>
                </w:p>
              </w:tc>
              <w:tc>
                <w:tcPr>
                  <w:tcW w:w="1499" w:type="dxa"/>
                  <w:noWrap w:val="0"/>
                  <w:vAlign w:val="center"/>
                </w:tcPr>
                <w:p>
                  <w:pPr>
                    <w:widowControl/>
                    <w:adjustRightInd w:val="0"/>
                    <w:jc w:val="center"/>
                    <w:rPr>
                      <w:rFonts w:hint="default" w:ascii="Times New Roman" w:hAnsi="Times New Roman" w:eastAsia="宋体"/>
                      <w:color w:val="000000" w:themeColor="text1"/>
                      <w:kern w:val="0"/>
                      <w:sz w:val="18"/>
                      <w:szCs w:val="18"/>
                      <w:lang w:val="en-US" w:eastAsia="zh-CN"/>
                      <w14:textFill>
                        <w14:solidFill>
                          <w14:schemeClr w14:val="tx1"/>
                        </w14:solidFill>
                      </w14:textFill>
                    </w:rPr>
                  </w:pPr>
                  <w:r>
                    <w:rPr>
                      <w:rFonts w:hint="eastAsia" w:ascii="Times New Roman" w:hAnsi="Times New Roman"/>
                      <w:color w:val="000000" w:themeColor="text1"/>
                      <w:kern w:val="0"/>
                      <w:sz w:val="18"/>
                      <w:szCs w:val="18"/>
                      <w:lang w:val="en-US" w:eastAsia="zh-CN"/>
                      <w14:textFill>
                        <w14:solidFill>
                          <w14:schemeClr w14:val="tx1"/>
                        </w14:solidFill>
                      </w14:textFill>
                    </w:rPr>
                    <w:t>12</w:t>
                  </w:r>
                  <w:r>
                    <w:rPr>
                      <w:rFonts w:hint="eastAsia"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lang w:val="en-US" w:eastAsia="zh-CN"/>
                      <w14:textFill>
                        <w14:solidFill>
                          <w14:schemeClr w14:val="tx1"/>
                        </w14:solidFill>
                      </w14:textFill>
                    </w:rPr>
                    <w:t>188</w:t>
                  </w:r>
                </w:p>
              </w:tc>
              <w:tc>
                <w:tcPr>
                  <w:tcW w:w="1036"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150</w:t>
                  </w:r>
                </w:p>
              </w:tc>
              <w:tc>
                <w:tcPr>
                  <w:tcW w:w="1667" w:type="dxa"/>
                  <w:noWrap w:val="0"/>
                  <w:vAlign w:val="center"/>
                </w:tcPr>
                <w:p>
                  <w:pPr>
                    <w:widowControl/>
                    <w:adjustRightInd w:val="0"/>
                    <w:jc w:val="center"/>
                    <w:rPr>
                      <w:rFonts w:hint="eastAsia"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日均值</w:t>
                  </w:r>
                  <w:r>
                    <w:rPr>
                      <w:rFonts w:ascii="Times New Roman" w:hAnsi="Times New Roman"/>
                      <w:color w:val="000000" w:themeColor="text1"/>
                      <w:kern w:val="0"/>
                      <w:sz w:val="18"/>
                      <w:szCs w:val="18"/>
                      <w14:textFill>
                        <w14:solidFill>
                          <w14:schemeClr w14:val="tx1"/>
                        </w14:solidFill>
                      </w14:textFill>
                    </w:rPr>
                    <w:t>达标</w:t>
                  </w:r>
                  <w:r>
                    <w:rPr>
                      <w:rFonts w:hint="eastAsia" w:ascii="Times New Roman" w:hAnsi="Times New Roman"/>
                      <w:color w:val="000000" w:themeColor="text1"/>
                      <w:kern w:val="0"/>
                      <w:sz w:val="18"/>
                      <w:szCs w:val="18"/>
                      <w14:textFill>
                        <w14:solidFill>
                          <w14:schemeClr w14:val="tx1"/>
                        </w14:solidFill>
                      </w14:textFill>
                    </w:rPr>
                    <w:t>率98.</w:t>
                  </w:r>
                  <w:r>
                    <w:rPr>
                      <w:rFonts w:hint="eastAsia" w:ascii="Times New Roman" w:hAnsi="Times New Roman"/>
                      <w:color w:val="000000" w:themeColor="text1"/>
                      <w:kern w:val="0"/>
                      <w:sz w:val="18"/>
                      <w:szCs w:val="18"/>
                      <w:lang w:val="en-US" w:eastAsia="zh-CN"/>
                      <w14:textFill>
                        <w14:solidFill>
                          <w14:schemeClr w14:val="tx1"/>
                        </w14:solidFill>
                      </w14:textFill>
                    </w:rPr>
                    <w:t>8</w:t>
                  </w:r>
                  <w:r>
                    <w:rPr>
                      <w:rFonts w:hint="eastAsia"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vertAlign w:val="superscript"/>
                      <w14:textFill>
                        <w14:solidFill>
                          <w14:schemeClr w14:val="tx1"/>
                        </w14:solidFill>
                      </w14:textFill>
                    </w:rPr>
                    <w:t>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778" w:type="dxa"/>
                  <w:vMerge w:val="continue"/>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p>
              </w:tc>
              <w:tc>
                <w:tcPr>
                  <w:tcW w:w="778" w:type="dxa"/>
                  <w:vMerge w:val="restart"/>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PM</w:t>
                  </w:r>
                  <w:r>
                    <w:rPr>
                      <w:rFonts w:ascii="Times New Roman" w:hAnsi="Times New Roman"/>
                      <w:color w:val="000000" w:themeColor="text1"/>
                      <w:kern w:val="0"/>
                      <w:sz w:val="18"/>
                      <w:szCs w:val="18"/>
                      <w:vertAlign w:val="subscript"/>
                      <w14:textFill>
                        <w14:solidFill>
                          <w14:schemeClr w14:val="tx1"/>
                        </w14:solidFill>
                      </w14:textFill>
                    </w:rPr>
                    <w:t>2.5</w:t>
                  </w:r>
                </w:p>
              </w:tc>
              <w:tc>
                <w:tcPr>
                  <w:tcW w:w="2212"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年平均质量浓度</w:t>
                  </w:r>
                </w:p>
              </w:tc>
              <w:tc>
                <w:tcPr>
                  <w:tcW w:w="1499" w:type="dxa"/>
                  <w:noWrap w:val="0"/>
                  <w:vAlign w:val="center"/>
                </w:tcPr>
                <w:p>
                  <w:pPr>
                    <w:widowControl/>
                    <w:adjustRightInd w:val="0"/>
                    <w:jc w:val="center"/>
                    <w:rPr>
                      <w:rFonts w:hint="default" w:ascii="Times New Roman" w:hAnsi="Times New Roman" w:eastAsia="宋体"/>
                      <w:color w:val="000000" w:themeColor="text1"/>
                      <w:kern w:val="0"/>
                      <w:sz w:val="18"/>
                      <w:szCs w:val="18"/>
                      <w:lang w:val="en-US" w:eastAsia="zh-CN"/>
                      <w14:textFill>
                        <w14:solidFill>
                          <w14:schemeClr w14:val="tx1"/>
                        </w14:solidFill>
                      </w14:textFill>
                    </w:rPr>
                  </w:pPr>
                  <w:r>
                    <w:rPr>
                      <w:rFonts w:hint="eastAsia" w:ascii="Times New Roman" w:hAnsi="Times New Roman"/>
                      <w:color w:val="000000" w:themeColor="text1"/>
                      <w:kern w:val="0"/>
                      <w:sz w:val="18"/>
                      <w:szCs w:val="18"/>
                      <w:lang w:val="en-US" w:eastAsia="zh-CN"/>
                      <w14:textFill>
                        <w14:solidFill>
                          <w14:schemeClr w14:val="tx1"/>
                        </w14:solidFill>
                      </w14:textFill>
                    </w:rPr>
                    <w:t>34</w:t>
                  </w:r>
                </w:p>
              </w:tc>
              <w:tc>
                <w:tcPr>
                  <w:tcW w:w="1036"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35</w:t>
                  </w:r>
                </w:p>
              </w:tc>
              <w:tc>
                <w:tcPr>
                  <w:tcW w:w="1667"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达标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778" w:type="dxa"/>
                  <w:vMerge w:val="continue"/>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p>
              </w:tc>
              <w:tc>
                <w:tcPr>
                  <w:tcW w:w="778" w:type="dxa"/>
                  <w:vMerge w:val="continue"/>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p>
              </w:tc>
              <w:tc>
                <w:tcPr>
                  <w:tcW w:w="2212"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日</w:t>
                  </w:r>
                  <w:r>
                    <w:rPr>
                      <w:rFonts w:ascii="Times New Roman" w:hAnsi="Times New Roman"/>
                      <w:color w:val="000000" w:themeColor="text1"/>
                      <w:kern w:val="0"/>
                      <w:sz w:val="18"/>
                      <w:szCs w:val="18"/>
                      <w14:textFill>
                        <w14:solidFill>
                          <w14:schemeClr w14:val="tx1"/>
                        </w14:solidFill>
                      </w14:textFill>
                    </w:rPr>
                    <w:t>平均质量浓度</w:t>
                  </w:r>
                  <w:r>
                    <w:rPr>
                      <w:rFonts w:hint="eastAsia" w:ascii="Times New Roman" w:hAnsi="Times New Roman"/>
                      <w:color w:val="000000" w:themeColor="text1"/>
                      <w:kern w:val="0"/>
                      <w:sz w:val="18"/>
                      <w:szCs w:val="18"/>
                      <w14:textFill>
                        <w14:solidFill>
                          <w14:schemeClr w14:val="tx1"/>
                        </w14:solidFill>
                      </w14:textFill>
                    </w:rPr>
                    <w:t>范围</w:t>
                  </w:r>
                </w:p>
              </w:tc>
              <w:tc>
                <w:tcPr>
                  <w:tcW w:w="1499" w:type="dxa"/>
                  <w:noWrap w:val="0"/>
                  <w:vAlign w:val="center"/>
                </w:tcPr>
                <w:p>
                  <w:pPr>
                    <w:widowControl/>
                    <w:adjustRightInd w:val="0"/>
                    <w:jc w:val="center"/>
                    <w:rPr>
                      <w:rFonts w:hint="default" w:ascii="Times New Roman" w:hAnsi="Times New Roman" w:eastAsia="宋体"/>
                      <w:color w:val="000000" w:themeColor="text1"/>
                      <w:kern w:val="0"/>
                      <w:sz w:val="18"/>
                      <w:szCs w:val="18"/>
                      <w:lang w:val="en-US" w:eastAsia="zh-CN"/>
                      <w14:textFill>
                        <w14:solidFill>
                          <w14:schemeClr w14:val="tx1"/>
                        </w14:solidFill>
                      </w14:textFill>
                    </w:rPr>
                  </w:pPr>
                  <w:r>
                    <w:rPr>
                      <w:rFonts w:hint="eastAsia" w:ascii="Times New Roman" w:hAnsi="Times New Roman"/>
                      <w:color w:val="000000" w:themeColor="text1"/>
                      <w:kern w:val="0"/>
                      <w:sz w:val="18"/>
                      <w:szCs w:val="18"/>
                      <w:lang w:val="en-US" w:eastAsia="zh-CN"/>
                      <w14:textFill>
                        <w14:solidFill>
                          <w14:schemeClr w14:val="tx1"/>
                        </w14:solidFill>
                      </w14:textFill>
                    </w:rPr>
                    <w:t>6</w:t>
                  </w:r>
                  <w:r>
                    <w:rPr>
                      <w:rFonts w:hint="eastAsia"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lang w:val="en-US" w:eastAsia="zh-CN"/>
                      <w14:textFill>
                        <w14:solidFill>
                          <w14:schemeClr w14:val="tx1"/>
                        </w14:solidFill>
                      </w14:textFill>
                    </w:rPr>
                    <w:t>151</w:t>
                  </w:r>
                </w:p>
              </w:tc>
              <w:tc>
                <w:tcPr>
                  <w:tcW w:w="1036"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75</w:t>
                  </w:r>
                </w:p>
              </w:tc>
              <w:tc>
                <w:tcPr>
                  <w:tcW w:w="1667" w:type="dxa"/>
                  <w:noWrap w:val="0"/>
                  <w:vAlign w:val="center"/>
                </w:tcPr>
                <w:p>
                  <w:pPr>
                    <w:widowControl/>
                    <w:adjustRightInd w:val="0"/>
                    <w:jc w:val="center"/>
                    <w:rPr>
                      <w:rFonts w:hint="eastAsia"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超标，日均值</w:t>
                  </w:r>
                  <w:r>
                    <w:rPr>
                      <w:rFonts w:ascii="Times New Roman" w:hAnsi="Times New Roman"/>
                      <w:color w:val="000000" w:themeColor="text1"/>
                      <w:kern w:val="0"/>
                      <w:sz w:val="18"/>
                      <w:szCs w:val="18"/>
                      <w14:textFill>
                        <w14:solidFill>
                          <w14:schemeClr w14:val="tx1"/>
                        </w14:solidFill>
                      </w14:textFill>
                    </w:rPr>
                    <w:t>达标</w:t>
                  </w:r>
                  <w:r>
                    <w:rPr>
                      <w:rFonts w:hint="eastAsia" w:ascii="Times New Roman" w:hAnsi="Times New Roman"/>
                      <w:color w:val="000000" w:themeColor="text1"/>
                      <w:kern w:val="0"/>
                      <w:sz w:val="18"/>
                      <w:szCs w:val="18"/>
                      <w14:textFill>
                        <w14:solidFill>
                          <w14:schemeClr w14:val="tx1"/>
                        </w14:solidFill>
                      </w14:textFill>
                    </w:rPr>
                    <w:t>率</w:t>
                  </w:r>
                  <w:r>
                    <w:rPr>
                      <w:rFonts w:hint="eastAsia" w:ascii="Times New Roman" w:hAnsi="Times New Roman"/>
                      <w:color w:val="000000" w:themeColor="text1"/>
                      <w:kern w:val="0"/>
                      <w:sz w:val="18"/>
                      <w:szCs w:val="18"/>
                      <w:lang w:val="en-US" w:eastAsia="zh-CN"/>
                      <w14:textFill>
                        <w14:solidFill>
                          <w14:schemeClr w14:val="tx1"/>
                        </w14:solidFill>
                      </w14:textFill>
                    </w:rPr>
                    <w:t>93.6</w:t>
                  </w:r>
                  <w:r>
                    <w:rPr>
                      <w:rFonts w:hint="eastAsia"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vertAlign w:val="superscript"/>
                      <w14:textFill>
                        <w14:solidFill>
                          <w14:schemeClr w14:val="tx1"/>
                        </w14:solidFill>
                      </w14:textFill>
                    </w:rPr>
                    <w:t>③</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778" w:type="dxa"/>
                  <w:vMerge w:val="continue"/>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p>
              </w:tc>
              <w:tc>
                <w:tcPr>
                  <w:tcW w:w="778"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O</w:t>
                  </w:r>
                  <w:r>
                    <w:rPr>
                      <w:rFonts w:ascii="Times New Roman" w:hAnsi="Times New Roman"/>
                      <w:color w:val="000000" w:themeColor="text1"/>
                      <w:kern w:val="0"/>
                      <w:sz w:val="18"/>
                      <w:szCs w:val="18"/>
                      <w:vertAlign w:val="subscript"/>
                      <w14:textFill>
                        <w14:solidFill>
                          <w14:schemeClr w14:val="tx1"/>
                        </w14:solidFill>
                      </w14:textFill>
                    </w:rPr>
                    <w:t>3</w:t>
                  </w:r>
                </w:p>
              </w:tc>
              <w:tc>
                <w:tcPr>
                  <w:tcW w:w="2212"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百分位数8h</w:t>
                  </w:r>
                  <w:r>
                    <w:rPr>
                      <w:rFonts w:hint="eastAsia" w:ascii="Times New Roman" w:hAnsi="Times New Roman"/>
                      <w:color w:val="000000" w:themeColor="text1"/>
                      <w:kern w:val="0"/>
                      <w:sz w:val="18"/>
                      <w:szCs w:val="18"/>
                      <w14:textFill>
                        <w14:solidFill>
                          <w14:schemeClr w14:val="tx1"/>
                        </w14:solidFill>
                      </w14:textFill>
                    </w:rPr>
                    <w:t>平均质量浓度</w:t>
                  </w:r>
                </w:p>
              </w:tc>
              <w:tc>
                <w:tcPr>
                  <w:tcW w:w="1499" w:type="dxa"/>
                  <w:noWrap w:val="0"/>
                  <w:vAlign w:val="center"/>
                </w:tcPr>
                <w:p>
                  <w:pPr>
                    <w:widowControl/>
                    <w:adjustRightInd w:val="0"/>
                    <w:jc w:val="center"/>
                    <w:rPr>
                      <w:rFonts w:hint="default" w:ascii="Times New Roman" w:hAnsi="Times New Roman" w:eastAsia="宋体"/>
                      <w:color w:val="000000" w:themeColor="text1"/>
                      <w:kern w:val="0"/>
                      <w:sz w:val="18"/>
                      <w:szCs w:val="18"/>
                      <w:lang w:val="en-US" w:eastAsia="zh-CN"/>
                      <w14:textFill>
                        <w14:solidFill>
                          <w14:schemeClr w14:val="tx1"/>
                        </w14:solidFill>
                      </w14:textFill>
                    </w:rPr>
                  </w:pPr>
                  <w:r>
                    <w:rPr>
                      <w:rFonts w:hint="eastAsia" w:ascii="Times New Roman" w:hAnsi="Times New Roman"/>
                      <w:color w:val="000000" w:themeColor="text1"/>
                      <w:kern w:val="0"/>
                      <w:sz w:val="18"/>
                      <w:szCs w:val="18"/>
                      <w:lang w:val="en-US" w:eastAsia="zh-CN"/>
                      <w14:textFill>
                        <w14:solidFill>
                          <w14:schemeClr w14:val="tx1"/>
                        </w14:solidFill>
                      </w14:textFill>
                    </w:rPr>
                    <w:t>174</w:t>
                  </w:r>
                </w:p>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（第90百分位数）</w:t>
                  </w:r>
                </w:p>
              </w:tc>
              <w:tc>
                <w:tcPr>
                  <w:tcW w:w="1036"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160</w:t>
                  </w:r>
                </w:p>
              </w:tc>
              <w:tc>
                <w:tcPr>
                  <w:tcW w:w="1667"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超标，</w:t>
                  </w:r>
                  <w:r>
                    <w:rPr>
                      <w:rFonts w:ascii="Times New Roman" w:hAnsi="Times New Roman"/>
                      <w:color w:val="000000" w:themeColor="text1"/>
                      <w:kern w:val="0"/>
                      <w:sz w:val="18"/>
                      <w:szCs w:val="18"/>
                      <w14:textFill>
                        <w14:solidFill>
                          <w14:schemeClr w14:val="tx1"/>
                        </w14:solidFill>
                      </w14:textFill>
                    </w:rPr>
                    <w:t>达标</w:t>
                  </w:r>
                  <w:r>
                    <w:rPr>
                      <w:rFonts w:hint="eastAsia" w:ascii="Times New Roman" w:hAnsi="Times New Roman"/>
                      <w:color w:val="000000" w:themeColor="text1"/>
                      <w:kern w:val="0"/>
                      <w:sz w:val="18"/>
                      <w:szCs w:val="18"/>
                      <w14:textFill>
                        <w14:solidFill>
                          <w14:schemeClr w14:val="tx1"/>
                        </w14:solidFill>
                      </w14:textFill>
                    </w:rPr>
                    <w:t>率8</w:t>
                  </w:r>
                  <w:r>
                    <w:rPr>
                      <w:rFonts w:hint="eastAsia" w:ascii="Times New Roman" w:hAnsi="Times New Roman"/>
                      <w:color w:val="000000" w:themeColor="text1"/>
                      <w:kern w:val="0"/>
                      <w:sz w:val="18"/>
                      <w:szCs w:val="18"/>
                      <w:lang w:val="en-US" w:eastAsia="zh-CN"/>
                      <w14:textFill>
                        <w14:solidFill>
                          <w14:schemeClr w14:val="tx1"/>
                        </w14:solidFill>
                      </w14:textFill>
                    </w:rPr>
                    <w:t>5.5</w:t>
                  </w:r>
                  <w:r>
                    <w:rPr>
                      <w:rFonts w:hint="eastAsia" w:ascii="Times New Roman" w:hAnsi="Times New Roman"/>
                      <w:color w:val="000000" w:themeColor="text1"/>
                      <w:kern w:val="0"/>
                      <w:sz w:val="18"/>
                      <w:szCs w:val="18"/>
                      <w14:textFill>
                        <w14:solidFill>
                          <w14:schemeClr w14:val="tx1"/>
                        </w14:solidFill>
                      </w14:textFill>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778" w:type="dxa"/>
                  <w:vMerge w:val="continue"/>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p>
              </w:tc>
              <w:tc>
                <w:tcPr>
                  <w:tcW w:w="778"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CO</w:t>
                  </w:r>
                </w:p>
              </w:tc>
              <w:tc>
                <w:tcPr>
                  <w:tcW w:w="2212"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百分位数日平均质量浓</w:t>
                  </w:r>
                  <w:r>
                    <w:rPr>
                      <w:rFonts w:hint="eastAsia" w:ascii="Times New Roman" w:hAnsi="Times New Roman"/>
                      <w:color w:val="000000" w:themeColor="text1"/>
                      <w:kern w:val="0"/>
                      <w:sz w:val="18"/>
                      <w:szCs w:val="18"/>
                      <w14:textFill>
                        <w14:solidFill>
                          <w14:schemeClr w14:val="tx1"/>
                        </w14:solidFill>
                      </w14:textFill>
                    </w:rPr>
                    <w:t>度</w:t>
                  </w:r>
                </w:p>
              </w:tc>
              <w:tc>
                <w:tcPr>
                  <w:tcW w:w="1499" w:type="dxa"/>
                  <w:noWrap w:val="0"/>
                  <w:vAlign w:val="center"/>
                </w:tcPr>
                <w:p>
                  <w:pPr>
                    <w:widowControl/>
                    <w:adjustRightInd w:val="0"/>
                    <w:jc w:val="center"/>
                    <w:rPr>
                      <w:rFonts w:hint="eastAsia" w:ascii="Times New Roman" w:hAnsi="Times New Roman"/>
                      <w:color w:val="000000" w:themeColor="text1"/>
                      <w:kern w:val="0"/>
                      <w:sz w:val="18"/>
                      <w:szCs w:val="18"/>
                      <w:lang w:val="en-US" w:eastAsia="zh-CN"/>
                      <w14:textFill>
                        <w14:solidFill>
                          <w14:schemeClr w14:val="tx1"/>
                        </w14:solidFill>
                      </w14:textFill>
                    </w:rPr>
                  </w:pPr>
                  <w:r>
                    <w:rPr>
                      <w:rFonts w:hint="eastAsia" w:ascii="Times New Roman" w:hAnsi="Times New Roman"/>
                      <w:color w:val="000000" w:themeColor="text1"/>
                      <w:kern w:val="0"/>
                      <w:sz w:val="18"/>
                      <w:szCs w:val="18"/>
                      <w:lang w:val="en-US" w:eastAsia="zh-CN"/>
                      <w14:textFill>
                        <w14:solidFill>
                          <w14:schemeClr w14:val="tx1"/>
                        </w14:solidFill>
                      </w14:textFill>
                    </w:rPr>
                    <w:t>1100</w:t>
                  </w:r>
                </w:p>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（第95百分位数）</w:t>
                  </w:r>
                </w:p>
              </w:tc>
              <w:tc>
                <w:tcPr>
                  <w:tcW w:w="1036"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4000</w:t>
                  </w:r>
                </w:p>
              </w:tc>
              <w:tc>
                <w:tcPr>
                  <w:tcW w:w="1667" w:type="dxa"/>
                  <w:noWrap w:val="0"/>
                  <w:vAlign w:val="center"/>
                </w:tcPr>
                <w:p>
                  <w:pPr>
                    <w:widowControl/>
                    <w:adjustRightInd w:val="0"/>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达标</w:t>
                  </w:r>
                </w:p>
              </w:tc>
            </w:tr>
          </w:tbl>
          <w:p>
            <w:pPr>
              <w:widowControl/>
              <w:jc w:val="left"/>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注：①</w:t>
            </w:r>
            <w:r>
              <w:rPr>
                <w:rFonts w:ascii="Times New Roman" w:hAnsi="Times New Roman"/>
                <w:color w:val="000000" w:themeColor="text1"/>
                <w:kern w:val="0"/>
                <w:sz w:val="18"/>
                <w:szCs w:val="18"/>
                <w:lang w:bidi="ar"/>
                <w14:textFill>
                  <w14:solidFill>
                    <w14:schemeClr w14:val="tx1"/>
                  </w14:solidFill>
                </w14:textFill>
              </w:rPr>
              <w:t>NO</w:t>
            </w:r>
            <w:r>
              <w:rPr>
                <w:rFonts w:ascii="Times New Roman" w:hAnsi="Times New Roman"/>
                <w:color w:val="000000" w:themeColor="text1"/>
                <w:kern w:val="0"/>
                <w:sz w:val="18"/>
                <w:szCs w:val="18"/>
                <w:vertAlign w:val="subscript"/>
                <w:lang w:bidi="ar"/>
                <w14:textFill>
                  <w14:solidFill>
                    <w14:schemeClr w14:val="tx1"/>
                  </w14:solidFill>
                </w14:textFill>
              </w:rPr>
              <w:t>2</w:t>
            </w:r>
            <w:r>
              <w:rPr>
                <w:rFonts w:hint="eastAsia" w:ascii="宋体" w:hAnsi="宋体" w:cs="宋体"/>
                <w:color w:val="000000" w:themeColor="text1"/>
                <w:kern w:val="0"/>
                <w:sz w:val="18"/>
                <w:szCs w:val="18"/>
                <w:lang w:bidi="ar"/>
                <w14:textFill>
                  <w14:solidFill>
                    <w14:schemeClr w14:val="tx1"/>
                  </w14:solidFill>
                </w14:textFill>
              </w:rPr>
              <w:t>第</w:t>
            </w:r>
            <w:r>
              <w:rPr>
                <w:rFonts w:ascii="Times New Roman" w:hAnsi="Times New Roman"/>
                <w:color w:val="000000" w:themeColor="text1"/>
                <w:kern w:val="0"/>
                <w:sz w:val="18"/>
                <w:szCs w:val="18"/>
                <w:lang w:bidi="ar"/>
                <w14:textFill>
                  <w14:solidFill>
                    <w14:schemeClr w14:val="tx1"/>
                  </w14:solidFill>
                </w14:textFill>
              </w:rPr>
              <w:t>98</w:t>
            </w:r>
            <w:r>
              <w:rPr>
                <w:rFonts w:hint="eastAsia" w:ascii="宋体" w:hAnsi="宋体" w:cs="宋体"/>
                <w:color w:val="000000" w:themeColor="text1"/>
                <w:kern w:val="0"/>
                <w:sz w:val="18"/>
                <w:szCs w:val="18"/>
                <w:lang w:bidi="ar"/>
                <w14:textFill>
                  <w14:solidFill>
                    <w14:schemeClr w14:val="tx1"/>
                  </w14:solidFill>
                </w14:textFill>
              </w:rPr>
              <w:t>百分位数达标；②</w:t>
            </w:r>
            <w:r>
              <w:rPr>
                <w:rFonts w:ascii="Times New Roman" w:hAnsi="Times New Roman"/>
                <w:color w:val="000000" w:themeColor="text1"/>
                <w:kern w:val="0"/>
                <w:sz w:val="18"/>
                <w:szCs w:val="18"/>
                <w:lang w:bidi="ar"/>
                <w14:textFill>
                  <w14:solidFill>
                    <w14:schemeClr w14:val="tx1"/>
                  </w14:solidFill>
                </w14:textFill>
              </w:rPr>
              <w:t>PM</w:t>
            </w:r>
            <w:r>
              <w:rPr>
                <w:rFonts w:ascii="Times New Roman" w:hAnsi="Times New Roman"/>
                <w:color w:val="000000" w:themeColor="text1"/>
                <w:kern w:val="0"/>
                <w:sz w:val="18"/>
                <w:szCs w:val="18"/>
                <w:vertAlign w:val="subscript"/>
                <w:lang w:bidi="ar"/>
                <w14:textFill>
                  <w14:solidFill>
                    <w14:schemeClr w14:val="tx1"/>
                  </w14:solidFill>
                </w14:textFill>
              </w:rPr>
              <w:t>10</w:t>
            </w:r>
            <w:r>
              <w:rPr>
                <w:rFonts w:hint="eastAsia" w:ascii="宋体" w:hAnsi="宋体" w:cs="宋体"/>
                <w:color w:val="000000" w:themeColor="text1"/>
                <w:kern w:val="0"/>
                <w:sz w:val="18"/>
                <w:szCs w:val="18"/>
                <w:lang w:bidi="ar"/>
                <w14:textFill>
                  <w14:solidFill>
                    <w14:schemeClr w14:val="tx1"/>
                  </w14:solidFill>
                </w14:textFill>
              </w:rPr>
              <w:t>第</w:t>
            </w:r>
            <w:r>
              <w:rPr>
                <w:rFonts w:ascii="Times New Roman" w:hAnsi="Times New Roman"/>
                <w:color w:val="000000" w:themeColor="text1"/>
                <w:kern w:val="0"/>
                <w:sz w:val="18"/>
                <w:szCs w:val="18"/>
                <w:lang w:bidi="ar"/>
                <w14:textFill>
                  <w14:solidFill>
                    <w14:schemeClr w14:val="tx1"/>
                  </w14:solidFill>
                </w14:textFill>
              </w:rPr>
              <w:t>95</w:t>
            </w:r>
            <w:r>
              <w:rPr>
                <w:rFonts w:hint="eastAsia" w:ascii="宋体" w:hAnsi="宋体" w:cs="宋体"/>
                <w:color w:val="000000" w:themeColor="text1"/>
                <w:kern w:val="0"/>
                <w:sz w:val="18"/>
                <w:szCs w:val="18"/>
                <w:lang w:bidi="ar"/>
                <w14:textFill>
                  <w14:solidFill>
                    <w14:schemeClr w14:val="tx1"/>
                  </w14:solidFill>
                </w14:textFill>
              </w:rPr>
              <w:t>百分位数达标；③</w:t>
            </w:r>
            <w:r>
              <w:rPr>
                <w:rFonts w:ascii="Times New Roman" w:hAnsi="Times New Roman"/>
                <w:color w:val="000000" w:themeColor="text1"/>
                <w:kern w:val="0"/>
                <w:sz w:val="18"/>
                <w:szCs w:val="18"/>
                <w:lang w:bidi="ar"/>
                <w14:textFill>
                  <w14:solidFill>
                    <w14:schemeClr w14:val="tx1"/>
                  </w14:solidFill>
                </w14:textFill>
              </w:rPr>
              <w:t>PM</w:t>
            </w:r>
            <w:r>
              <w:rPr>
                <w:rFonts w:ascii="Times New Roman" w:hAnsi="Times New Roman"/>
                <w:color w:val="000000" w:themeColor="text1"/>
                <w:kern w:val="0"/>
                <w:sz w:val="18"/>
                <w:szCs w:val="18"/>
                <w:vertAlign w:val="subscript"/>
                <w:lang w:bidi="ar"/>
                <w14:textFill>
                  <w14:solidFill>
                    <w14:schemeClr w14:val="tx1"/>
                  </w14:solidFill>
                </w14:textFill>
              </w:rPr>
              <w:t>2.5</w:t>
            </w:r>
            <w:r>
              <w:rPr>
                <w:rFonts w:hint="eastAsia" w:ascii="宋体" w:hAnsi="宋体" w:cs="宋体"/>
                <w:color w:val="000000" w:themeColor="text1"/>
                <w:kern w:val="0"/>
                <w:sz w:val="18"/>
                <w:szCs w:val="18"/>
                <w:lang w:bidi="ar"/>
                <w14:textFill>
                  <w14:solidFill>
                    <w14:schemeClr w14:val="tx1"/>
                  </w14:solidFill>
                </w14:textFill>
              </w:rPr>
              <w:t>第</w:t>
            </w:r>
            <w:r>
              <w:rPr>
                <w:rFonts w:ascii="Times New Roman" w:hAnsi="Times New Roman"/>
                <w:color w:val="000000" w:themeColor="text1"/>
                <w:kern w:val="0"/>
                <w:sz w:val="18"/>
                <w:szCs w:val="18"/>
                <w:lang w:bidi="ar"/>
                <w14:textFill>
                  <w14:solidFill>
                    <w14:schemeClr w14:val="tx1"/>
                  </w14:solidFill>
                </w14:textFill>
              </w:rPr>
              <w:t>95</w:t>
            </w:r>
            <w:r>
              <w:rPr>
                <w:rFonts w:hint="eastAsia" w:ascii="宋体" w:hAnsi="宋体" w:cs="宋体"/>
                <w:color w:val="000000" w:themeColor="text1"/>
                <w:kern w:val="0"/>
                <w:sz w:val="18"/>
                <w:szCs w:val="18"/>
                <w:lang w:bidi="ar"/>
                <w14:textFill>
                  <w14:solidFill>
                    <w14:schemeClr w14:val="tx1"/>
                  </w14:solidFill>
                </w14:textFill>
              </w:rPr>
              <w:t>百分位数达标。</w:t>
            </w:r>
            <w:r>
              <w:rPr>
                <w:rFonts w:hint="eastAsia" w:ascii="宋体" w:hAnsi="宋体" w:cs="宋体"/>
                <w:color w:val="000000" w:themeColor="text1"/>
                <w:kern w:val="0"/>
                <w:szCs w:val="21"/>
                <w:lang w:bidi="ar"/>
                <w14:textFill>
                  <w14:solidFill>
                    <w14:schemeClr w14:val="tx1"/>
                  </w14:solidFill>
                </w14:textFill>
              </w:rPr>
              <w:t xml:space="preserve"> </w:t>
            </w:r>
          </w:p>
          <w:p>
            <w:pPr>
              <w:widowControl/>
              <w:spacing w:line="480" w:lineRule="exact"/>
              <w:ind w:firstLine="420" w:firstLineChars="200"/>
              <w:jc w:val="left"/>
              <w:rPr>
                <w:szCs w:val="21"/>
              </w:rPr>
            </w:pPr>
            <w:r>
              <w:rPr>
                <w:rFonts w:ascii="Times New Roman" w:hAnsi="Times New Roman"/>
                <w:szCs w:val="21"/>
              </w:rPr>
              <w:t>由上表可知项目所在区域</w:t>
            </w:r>
            <w:r>
              <w:rPr>
                <w:rFonts w:hint="eastAsia" w:ascii="Times New Roman" w:hAnsi="Times New Roman"/>
                <w:szCs w:val="21"/>
              </w:rPr>
              <w:t>常州市</w:t>
            </w:r>
            <w:r>
              <w:rPr>
                <w:rFonts w:ascii="Times New Roman" w:hAnsi="Times New Roman"/>
                <w:szCs w:val="21"/>
              </w:rPr>
              <w:t>SO</w:t>
            </w:r>
            <w:r>
              <w:rPr>
                <w:rFonts w:ascii="Times New Roman" w:hAnsi="Times New Roman"/>
                <w:szCs w:val="21"/>
                <w:vertAlign w:val="subscript"/>
              </w:rPr>
              <w:t>2</w:t>
            </w:r>
            <w:r>
              <w:rPr>
                <w:rFonts w:hint="eastAsia" w:ascii="Times New Roman" w:hAnsi="Times New Roman"/>
                <w:szCs w:val="21"/>
              </w:rPr>
              <w:t>、</w:t>
            </w:r>
            <w:r>
              <w:rPr>
                <w:rFonts w:ascii="Times New Roman" w:hAnsi="Times New Roman"/>
                <w:szCs w:val="21"/>
              </w:rPr>
              <w:t>NO</w:t>
            </w:r>
            <w:r>
              <w:rPr>
                <w:rFonts w:ascii="Times New Roman" w:hAnsi="Times New Roman"/>
                <w:szCs w:val="21"/>
                <w:vertAlign w:val="subscript"/>
              </w:rPr>
              <w:t>2</w:t>
            </w:r>
            <w:r>
              <w:rPr>
                <w:rFonts w:hint="eastAsia" w:ascii="Times New Roman" w:hAnsi="Times New Roman"/>
                <w:szCs w:val="21"/>
              </w:rPr>
              <w:t>、</w:t>
            </w:r>
            <w:r>
              <w:rPr>
                <w:rFonts w:ascii="Times New Roman" w:hAnsi="Times New Roman"/>
                <w:szCs w:val="21"/>
              </w:rPr>
              <w:t>PM</w:t>
            </w:r>
            <w:r>
              <w:rPr>
                <w:rFonts w:ascii="Times New Roman" w:hAnsi="Times New Roman"/>
                <w:szCs w:val="21"/>
                <w:vertAlign w:val="subscript"/>
              </w:rPr>
              <w:t>10</w:t>
            </w:r>
            <w:r>
              <w:rPr>
                <w:rFonts w:hint="eastAsia" w:ascii="Times New Roman" w:hAnsi="Times New Roman"/>
                <w:szCs w:val="21"/>
              </w:rPr>
              <w:t>的年平均质量浓度以及其对应的日均值百分位数浓度和</w:t>
            </w:r>
            <w:r>
              <w:rPr>
                <w:rFonts w:ascii="Times New Roman" w:hAnsi="Times New Roman"/>
                <w:szCs w:val="21"/>
              </w:rPr>
              <w:t>CO</w:t>
            </w:r>
            <w:r>
              <w:rPr>
                <w:rFonts w:hint="eastAsia" w:ascii="Times New Roman" w:hAnsi="Times New Roman"/>
                <w:szCs w:val="21"/>
              </w:rPr>
              <w:t>的日均值第</w:t>
            </w:r>
            <w:r>
              <w:rPr>
                <w:rFonts w:ascii="Times New Roman" w:hAnsi="Times New Roman"/>
                <w:szCs w:val="21"/>
              </w:rPr>
              <w:t>95</w:t>
            </w:r>
            <w:r>
              <w:rPr>
                <w:rFonts w:hint="eastAsia" w:ascii="Times New Roman" w:hAnsi="Times New Roman"/>
                <w:szCs w:val="21"/>
              </w:rPr>
              <w:t>百分位数均符合《环境空气质量标准》（</w:t>
            </w:r>
            <w:r>
              <w:rPr>
                <w:rFonts w:ascii="Times New Roman" w:hAnsi="Times New Roman"/>
                <w:szCs w:val="21"/>
              </w:rPr>
              <w:t>GB3095-2012</w:t>
            </w:r>
            <w:r>
              <w:rPr>
                <w:rFonts w:hint="eastAsia" w:ascii="Times New Roman" w:hAnsi="Times New Roman"/>
                <w:szCs w:val="21"/>
              </w:rPr>
              <w:t>）表</w:t>
            </w:r>
            <w:r>
              <w:rPr>
                <w:rFonts w:ascii="Times New Roman" w:hAnsi="Times New Roman"/>
                <w:szCs w:val="21"/>
              </w:rPr>
              <w:t>1</w:t>
            </w:r>
            <w:r>
              <w:rPr>
                <w:rFonts w:hint="eastAsia" w:ascii="Times New Roman" w:hAnsi="Times New Roman"/>
                <w:color w:val="000000"/>
                <w:szCs w:val="21"/>
              </w:rPr>
              <w:t>中二级标准，</w:t>
            </w:r>
            <w:r>
              <w:rPr>
                <w:rFonts w:ascii="Times New Roman" w:hAnsi="Times New Roman"/>
                <w:color w:val="000000"/>
                <w:szCs w:val="21"/>
              </w:rPr>
              <w:t>O</w:t>
            </w:r>
            <w:r>
              <w:rPr>
                <w:rFonts w:ascii="Times New Roman" w:hAnsi="Times New Roman"/>
                <w:color w:val="000000"/>
                <w:szCs w:val="21"/>
                <w:vertAlign w:val="subscript"/>
              </w:rPr>
              <w:t>3</w:t>
            </w:r>
            <w:r>
              <w:rPr>
                <w:rFonts w:hint="eastAsia" w:ascii="Times New Roman" w:hAnsi="Times New Roman"/>
                <w:color w:val="000000"/>
                <w:szCs w:val="21"/>
              </w:rPr>
              <w:t>的最大</w:t>
            </w:r>
            <w:r>
              <w:rPr>
                <w:rFonts w:ascii="Times New Roman" w:hAnsi="Times New Roman"/>
                <w:color w:val="000000"/>
                <w:szCs w:val="21"/>
              </w:rPr>
              <w:t>8</w:t>
            </w:r>
            <w:r>
              <w:rPr>
                <w:rFonts w:hint="eastAsia" w:ascii="Times New Roman" w:hAnsi="Times New Roman"/>
                <w:color w:val="000000"/>
                <w:szCs w:val="21"/>
              </w:rPr>
              <w:t>小时滑动平均第</w:t>
            </w:r>
            <w:r>
              <w:rPr>
                <w:rFonts w:ascii="Times New Roman" w:hAnsi="Times New Roman"/>
                <w:color w:val="000000"/>
                <w:szCs w:val="21"/>
              </w:rPr>
              <w:t>95</w:t>
            </w:r>
            <w:r>
              <w:rPr>
                <w:rFonts w:hint="eastAsia" w:ascii="Times New Roman" w:hAnsi="Times New Roman"/>
                <w:color w:val="000000"/>
                <w:szCs w:val="21"/>
              </w:rPr>
              <w:t>百分位数略有超标，</w:t>
            </w:r>
            <w:r>
              <w:rPr>
                <w:rFonts w:ascii="Times New Roman" w:hAnsi="Times New Roman"/>
                <w:color w:val="000000"/>
                <w:szCs w:val="21"/>
              </w:rPr>
              <w:t>PM</w:t>
            </w:r>
            <w:r>
              <w:rPr>
                <w:rFonts w:hint="eastAsia" w:ascii="Times New Roman" w:hAnsi="Times New Roman"/>
                <w:color w:val="000000"/>
                <w:szCs w:val="21"/>
                <w:vertAlign w:val="subscript"/>
              </w:rPr>
              <w:t>2.5</w:t>
            </w:r>
            <w:r>
              <w:rPr>
                <w:rFonts w:hint="eastAsia" w:ascii="Times New Roman" w:hAnsi="Times New Roman"/>
                <w:color w:val="000000"/>
                <w:szCs w:val="21"/>
              </w:rPr>
              <w:t>的日平均质量浓度范围略有超标</w:t>
            </w:r>
            <w:r>
              <w:rPr>
                <w:rFonts w:hint="eastAsia" w:ascii="Times New Roman" w:hAnsi="Times New Roman"/>
                <w:szCs w:val="21"/>
              </w:rPr>
              <w:t>。总体而言，本项目所在区域环境质量为不达标区。</w:t>
            </w:r>
            <w:r>
              <w:rPr>
                <w:rFonts w:hint="eastAsia"/>
                <w:szCs w:val="21"/>
              </w:rPr>
              <w:t xml:space="preserve"> </w:t>
            </w:r>
          </w:p>
          <w:p>
            <w:pPr>
              <w:spacing w:line="480" w:lineRule="exact"/>
              <w:ind w:firstLine="420" w:firstLineChars="200"/>
              <w:rPr>
                <w:kern w:val="44"/>
                <w:szCs w:val="21"/>
              </w:rPr>
            </w:pPr>
            <w:r>
              <w:rPr>
                <w:rFonts w:hint="eastAsia"/>
                <w:kern w:val="44"/>
                <w:szCs w:val="21"/>
              </w:rPr>
              <w:t>b</w:t>
            </w:r>
            <w:r>
              <w:rPr>
                <w:kern w:val="44"/>
                <w:szCs w:val="21"/>
              </w:rPr>
              <w:t>.大气环境质量达标整治方案</w:t>
            </w:r>
          </w:p>
          <w:p>
            <w:pPr>
              <w:spacing w:line="480" w:lineRule="exact"/>
              <w:ind w:firstLine="420" w:firstLineChars="200"/>
              <w:rPr>
                <w:rFonts w:hint="eastAsia"/>
                <w:kern w:val="44"/>
                <w:szCs w:val="21"/>
              </w:rPr>
            </w:pPr>
            <w:r>
              <w:rPr>
                <w:rFonts w:hint="eastAsia"/>
                <w:kern w:val="44"/>
                <w:szCs w:val="21"/>
              </w:rPr>
              <w:t>1）市政府关于印发《2023年常州市生态文明建设工作方案》的通知，常政发〔2023〕23号</w:t>
            </w:r>
          </w:p>
          <w:p>
            <w:pPr>
              <w:spacing w:line="480" w:lineRule="exact"/>
              <w:ind w:firstLine="420" w:firstLineChars="200"/>
              <w:rPr>
                <w:rFonts w:hint="eastAsia"/>
                <w:kern w:val="44"/>
                <w:szCs w:val="21"/>
              </w:rPr>
            </w:pPr>
            <w:r>
              <w:rPr>
                <w:rFonts w:hint="eastAsia"/>
                <w:kern w:val="44"/>
                <w:szCs w:val="21"/>
              </w:rPr>
              <w:t>为全面贯彻党的二十大和二十届一中全会精神，深入学习贯彻习近平生态文明思想，落实市委十三届五次全会精神，依据《中共江苏省委江苏省人民政府关于深入打好污染防治攻坚战的实施意见》、《关于打造长三角生态中轴建设人与自然和谐共生的现代化常州的实施意见》、《常州市生态文明建设十大专项行动方案》以及省下达的《常州市2023年深入打好污染防治攻坚战目标任务书》等文件，结合我市实际，制定年度全市生态文明建设工作方案如下：</w:t>
            </w:r>
          </w:p>
          <w:p>
            <w:pPr>
              <w:spacing w:line="480" w:lineRule="exact"/>
              <w:ind w:firstLine="420" w:firstLineChars="200"/>
              <w:rPr>
                <w:rFonts w:hint="eastAsia"/>
                <w:kern w:val="44"/>
                <w:szCs w:val="21"/>
              </w:rPr>
            </w:pPr>
            <w:r>
              <w:rPr>
                <w:rFonts w:hint="eastAsia"/>
                <w:kern w:val="44"/>
                <w:szCs w:val="21"/>
              </w:rPr>
              <w:t>二、重点任务</w:t>
            </w:r>
          </w:p>
          <w:p>
            <w:pPr>
              <w:spacing w:line="480" w:lineRule="exact"/>
              <w:ind w:firstLine="420" w:firstLineChars="200"/>
              <w:rPr>
                <w:rFonts w:hint="eastAsia"/>
                <w:kern w:val="44"/>
                <w:szCs w:val="21"/>
              </w:rPr>
            </w:pPr>
            <w:r>
              <w:rPr>
                <w:rFonts w:hint="eastAsia"/>
                <w:kern w:val="44"/>
                <w:szCs w:val="21"/>
              </w:rPr>
              <w:t>（二）深入打好蓝天保卫战</w:t>
            </w:r>
          </w:p>
          <w:p>
            <w:pPr>
              <w:spacing w:line="480" w:lineRule="exact"/>
              <w:ind w:firstLine="420" w:firstLineChars="200"/>
              <w:rPr>
                <w:rFonts w:hint="eastAsia"/>
                <w:kern w:val="44"/>
                <w:szCs w:val="21"/>
              </w:rPr>
            </w:pPr>
            <w:r>
              <w:rPr>
                <w:rFonts w:hint="eastAsia"/>
                <w:kern w:val="44"/>
                <w:szCs w:val="21"/>
                <w:lang w:val="en-US" w:eastAsia="zh-CN"/>
              </w:rPr>
              <w:t>9.</w:t>
            </w:r>
            <w:r>
              <w:rPr>
                <w:rFonts w:hint="eastAsia"/>
                <w:kern w:val="44"/>
                <w:szCs w:val="21"/>
              </w:rPr>
              <w:t>推进固定源深度治理。持续推进钢铁、水泥、电力企业超低排放改造，推进建材、 有色金属等工业窑炉重点行业大气污染深度治理或清洁能源替代。</w:t>
            </w:r>
            <w:r>
              <w:rPr>
                <w:rFonts w:hint="eastAsia"/>
                <w:kern w:val="44"/>
                <w:szCs w:val="21"/>
                <w:vertAlign w:val="subscript"/>
              </w:rPr>
              <w:t>………………</w:t>
            </w:r>
            <w:r>
              <w:rPr>
                <w:rFonts w:hint="eastAsia"/>
                <w:kern w:val="44"/>
                <w:szCs w:val="21"/>
              </w:rPr>
              <w:t>，并对其中44 台生物质锅炉完成提标改造或清洁原料替代确保保留的生物质锅炉达到规定排放标准要求。(市生态环境局牵头，市发改委、工信局、交通运输局配合)</w:t>
            </w:r>
          </w:p>
          <w:p>
            <w:pPr>
              <w:spacing w:line="480" w:lineRule="exact"/>
              <w:ind w:firstLine="420" w:firstLineChars="200"/>
              <w:rPr>
                <w:rFonts w:hint="eastAsia"/>
                <w:kern w:val="44"/>
                <w:szCs w:val="21"/>
              </w:rPr>
            </w:pPr>
            <w:r>
              <w:rPr>
                <w:rFonts w:hint="eastAsia"/>
                <w:kern w:val="44"/>
                <w:szCs w:val="21"/>
                <w:lang w:val="en-US" w:eastAsia="zh-CN"/>
              </w:rPr>
              <w:t>10.</w:t>
            </w:r>
            <w:r>
              <w:rPr>
                <w:rFonts w:hint="eastAsia"/>
                <w:kern w:val="44"/>
                <w:szCs w:val="21"/>
              </w:rPr>
              <w:t>着力打好臭氧污染防治攻坚战。依托江苏省重点行业VOCs综合管理平台，加快完善VOCs清单。按《江苏省挥发性有机物清洁原料替代</w:t>
            </w:r>
            <w:r>
              <w:rPr>
                <w:rFonts w:hint="eastAsia"/>
                <w:kern w:val="44"/>
                <w:szCs w:val="21"/>
                <w:lang w:val="en-US" w:eastAsia="zh-CN"/>
              </w:rPr>
              <w:t>工</w:t>
            </w:r>
            <w:r>
              <w:rPr>
                <w:rFonts w:hint="eastAsia"/>
                <w:kern w:val="44"/>
                <w:szCs w:val="21"/>
              </w:rPr>
              <w:t>作方案》要求，对首批182家企业、9家钢结构企业和375家包装印刷企业源头替代情况再核查，进一步排查核实2家船舶修造、46家家具制造企业清单，建立并及时更新管理台账，完成清洁原料替代工作；培育10家以上源头替代示范型企业；其他行业，重点对使用溶剂型原辅材料、污染治理设施低效的企业强化清洁原料替代，完成共计48家清洁原料替代工作，对替代技术不成熟的，推动开展论证，并加强现场监管。完成150项VOCs综合治理项目、183 项VOCs无组织排放治理项目；对188家挥发性有机物重点监管企业“一企一策”整治方案和深度治理情况进行评估。</w:t>
            </w:r>
            <w:r>
              <w:rPr>
                <w:rFonts w:hint="eastAsia"/>
                <w:kern w:val="44"/>
                <w:szCs w:val="21"/>
                <w:vertAlign w:val="subscript"/>
              </w:rPr>
              <w:t>………………</w:t>
            </w:r>
            <w:r>
              <w:rPr>
                <w:rFonts w:hint="eastAsia"/>
                <w:kern w:val="44"/>
                <w:szCs w:val="21"/>
              </w:rPr>
              <w:t>。5月底前，对44个企业集群完成次“回头看”。打造减排示范项目，2个以上有机储罐综合治理示范项目、1个以上大气“绿岛”示范项目。</w:t>
            </w:r>
          </w:p>
          <w:p>
            <w:pPr>
              <w:spacing w:line="480" w:lineRule="exact"/>
              <w:ind w:firstLine="420" w:firstLineChars="200"/>
              <w:rPr>
                <w:rFonts w:hint="eastAsia"/>
                <w:kern w:val="44"/>
                <w:szCs w:val="21"/>
              </w:rPr>
            </w:pPr>
            <w:r>
              <w:rPr>
                <w:rFonts w:hint="eastAsia"/>
                <w:kern w:val="44"/>
                <w:szCs w:val="21"/>
              </w:rPr>
              <w:t>推动活性炭核查整治全覆盖。对照VOCs源清单，实现全市4504家活性炭吸附处理工艺企业核查全覆盖，系统、准确、如实录入核查信息；完成621家以上涉活性炭使用企业的整改工作。2023年底前，完成所有活性炭问题企业的初步整改；在常州经开区先行开展试点，按照“绿链”建设要求，探索建立活性炭集中更换、统一运维、整体推进的工作体系，并逐步向全市推广。（市生态环境局牵头，市各有关部门配合)</w:t>
            </w:r>
          </w:p>
          <w:p>
            <w:pPr>
              <w:spacing w:line="480" w:lineRule="exact"/>
              <w:ind w:firstLine="420" w:firstLineChars="200"/>
              <w:rPr>
                <w:rFonts w:hint="eastAsia"/>
                <w:kern w:val="44"/>
                <w:szCs w:val="21"/>
              </w:rPr>
            </w:pPr>
            <w:r>
              <w:rPr>
                <w:rFonts w:hint="eastAsia"/>
                <w:kern w:val="44"/>
                <w:szCs w:val="21"/>
              </w:rPr>
              <w:t>11.实施扬尘污染精细化治理。加强扬尘污染防治，持续对全市63个镇（街道）、园区实施降尘考核，全市降尘不得高于2.3吨/平方千米月。（市生态环境局牵头，市各有关部门配合）</w:t>
            </w:r>
          </w:p>
          <w:p>
            <w:pPr>
              <w:spacing w:line="480" w:lineRule="exact"/>
              <w:ind w:firstLine="420" w:firstLineChars="200"/>
              <w:rPr>
                <w:rFonts w:hint="eastAsia"/>
                <w:kern w:val="44"/>
                <w:szCs w:val="21"/>
              </w:rPr>
            </w:pPr>
            <w:r>
              <w:rPr>
                <w:rFonts w:hint="eastAsia"/>
                <w:kern w:val="44"/>
                <w:szCs w:val="21"/>
              </w:rPr>
              <w:t>…………………</w:t>
            </w:r>
          </w:p>
          <w:p>
            <w:pPr>
              <w:spacing w:line="480" w:lineRule="exact"/>
              <w:ind w:firstLine="420" w:firstLineChars="200"/>
              <w:rPr>
                <w:rFonts w:hint="eastAsia"/>
                <w:kern w:val="44"/>
                <w:szCs w:val="21"/>
              </w:rPr>
            </w:pPr>
            <w:r>
              <w:rPr>
                <w:rFonts w:hint="eastAsia"/>
                <w:kern w:val="44"/>
                <w:szCs w:val="21"/>
              </w:rPr>
              <w:t>12.开展餐饮油烟、恶臭异味专项治理。推动产生油烟或异味的餐饮服务单位安装油烟净化装置并定期维护， 推行餐饮业服务经营者定期实施烟道清洗工作。</w:t>
            </w:r>
            <w:r>
              <w:rPr>
                <w:rFonts w:hint="eastAsia"/>
                <w:kern w:val="44"/>
                <w:szCs w:val="21"/>
                <w:vertAlign w:val="subscript"/>
              </w:rPr>
              <w:t>………………</w:t>
            </w:r>
            <w:r>
              <w:rPr>
                <w:rFonts w:hint="eastAsia"/>
                <w:kern w:val="44"/>
                <w:szCs w:val="21"/>
              </w:rPr>
              <w:t>至少打造3个餐饮油烟治理示范项目。（市生态环境局、</w:t>
            </w:r>
            <w:r>
              <w:rPr>
                <w:rFonts w:hint="eastAsia"/>
                <w:kern w:val="44"/>
                <w:szCs w:val="21"/>
                <w:lang w:eastAsia="zh-CN"/>
              </w:rPr>
              <w:t>市市</w:t>
            </w:r>
            <w:r>
              <w:rPr>
                <w:rFonts w:hint="eastAsia"/>
                <w:kern w:val="44"/>
                <w:szCs w:val="21"/>
              </w:rPr>
              <w:t>场监管局按职责分工负责）</w:t>
            </w:r>
          </w:p>
          <w:p>
            <w:pPr>
              <w:spacing w:line="480" w:lineRule="exact"/>
              <w:ind w:firstLine="420" w:firstLineChars="200"/>
              <w:rPr>
                <w:rFonts w:hint="eastAsia"/>
                <w:kern w:val="44"/>
                <w:szCs w:val="21"/>
              </w:rPr>
            </w:pPr>
            <w:r>
              <w:rPr>
                <w:rFonts w:hint="eastAsia"/>
                <w:kern w:val="44"/>
                <w:szCs w:val="21"/>
              </w:rPr>
              <w:t>13.着力打好重污染天气消除攻坚战。加强遥感、视频监控、无人机等手段在</w:t>
            </w:r>
            <w:r>
              <w:rPr>
                <w:rFonts w:hint="eastAsia"/>
                <w:kern w:val="44"/>
                <w:szCs w:val="21"/>
                <w:lang w:eastAsia="zh-CN"/>
              </w:rPr>
              <w:t>秸秆禁烧</w:t>
            </w:r>
            <w:r>
              <w:rPr>
                <w:rFonts w:hint="eastAsia"/>
                <w:kern w:val="44"/>
                <w:szCs w:val="21"/>
              </w:rPr>
              <w:t>管理中的应用，实施“定点、定时、定人、定责”管控，建立全覆盖网格化监管体系，在现有基础上新增不少于50 个“蓝天卫士”视频监控。（市生态环境局、农业农村局按职责分工负责）</w:t>
            </w:r>
          </w:p>
          <w:p>
            <w:pPr>
              <w:spacing w:line="480" w:lineRule="exact"/>
              <w:ind w:firstLine="420" w:firstLineChars="200"/>
              <w:rPr>
                <w:rFonts w:hint="eastAsia"/>
                <w:kern w:val="44"/>
                <w:szCs w:val="21"/>
              </w:rPr>
            </w:pPr>
            <w:r>
              <w:rPr>
                <w:rFonts w:hint="eastAsia"/>
                <w:kern w:val="44"/>
                <w:szCs w:val="21"/>
              </w:rPr>
              <w:t>强化烟花爆竹燃放管控，各地根据本行政区域的实际情况，确定限制或者禁止燃放烟花爆竹的时间、地点和种类。禁止违规燃放烟花爆竹。（市公安局牵头，市生态环境局、城管局、交通运输局、应急管理局等配合）</w:t>
            </w:r>
          </w:p>
          <w:p>
            <w:pPr>
              <w:spacing w:line="480" w:lineRule="exact"/>
              <w:ind w:firstLine="420" w:firstLineChars="200"/>
              <w:rPr>
                <w:rFonts w:hint="eastAsia"/>
                <w:kern w:val="44"/>
                <w:szCs w:val="21"/>
              </w:rPr>
            </w:pPr>
            <w:r>
              <w:rPr>
                <w:rFonts w:hint="eastAsia"/>
                <w:kern w:val="44"/>
                <w:szCs w:val="21"/>
              </w:rPr>
              <w:t>采取以上措施，常州市的大气空气质量将得到一定改善。</w:t>
            </w:r>
          </w:p>
          <w:p>
            <w:pPr>
              <w:spacing w:line="480" w:lineRule="exact"/>
              <w:ind w:firstLine="420" w:firstLineChars="200"/>
              <w:rPr>
                <w:kern w:val="44"/>
                <w:szCs w:val="21"/>
              </w:rPr>
            </w:pPr>
            <w:r>
              <w:rPr>
                <w:rFonts w:hint="eastAsia"/>
                <w:kern w:val="44"/>
                <w:szCs w:val="21"/>
              </w:rPr>
              <w:t xml:space="preserve">（3）声环境 </w:t>
            </w:r>
          </w:p>
          <w:p>
            <w:pPr>
              <w:spacing w:line="480" w:lineRule="exact"/>
              <w:ind w:firstLine="420" w:firstLineChars="200"/>
              <w:rPr>
                <w:kern w:val="44"/>
                <w:szCs w:val="21"/>
              </w:rPr>
            </w:pPr>
            <w:r>
              <w:rPr>
                <w:rFonts w:hint="eastAsia"/>
                <w:kern w:val="44"/>
                <w:szCs w:val="21"/>
              </w:rPr>
              <w:t>本项目厂界外</w:t>
            </w:r>
            <w:r>
              <w:rPr>
                <w:kern w:val="44"/>
                <w:szCs w:val="21"/>
              </w:rPr>
              <w:t>50m</w:t>
            </w:r>
            <w:r>
              <w:rPr>
                <w:rFonts w:hint="eastAsia"/>
                <w:kern w:val="44"/>
                <w:szCs w:val="21"/>
              </w:rPr>
              <w:t xml:space="preserve">范围内无声环境保护目标，不开展声环境质量现状调查。 </w:t>
            </w:r>
          </w:p>
          <w:p>
            <w:pPr>
              <w:spacing w:line="480" w:lineRule="exact"/>
              <w:ind w:firstLine="420" w:firstLineChars="200"/>
              <w:rPr>
                <w:kern w:val="44"/>
                <w:szCs w:val="21"/>
              </w:rPr>
            </w:pPr>
            <w:r>
              <w:rPr>
                <w:rFonts w:hint="eastAsia"/>
                <w:kern w:val="44"/>
                <w:szCs w:val="21"/>
              </w:rPr>
              <w:t xml:space="preserve">（4）生态环境 </w:t>
            </w:r>
          </w:p>
          <w:p>
            <w:pPr>
              <w:spacing w:line="480" w:lineRule="exact"/>
              <w:ind w:firstLine="420" w:firstLineChars="200"/>
              <w:rPr>
                <w:kern w:val="44"/>
                <w:szCs w:val="21"/>
              </w:rPr>
            </w:pPr>
            <w:r>
              <w:rPr>
                <w:rFonts w:hint="eastAsia"/>
                <w:kern w:val="44"/>
                <w:szCs w:val="21"/>
              </w:rPr>
              <w:t xml:space="preserve">本项目位于江苏省常州市武进国家高新技术产业开发区龙逸路76号，未在产业园区外新增用地的，对周边生态环境影响较小。 </w:t>
            </w:r>
          </w:p>
          <w:p>
            <w:pPr>
              <w:spacing w:line="480" w:lineRule="exact"/>
              <w:ind w:firstLine="420" w:firstLineChars="200"/>
              <w:rPr>
                <w:kern w:val="44"/>
                <w:szCs w:val="21"/>
              </w:rPr>
            </w:pPr>
            <w:r>
              <w:rPr>
                <w:rFonts w:hint="eastAsia"/>
                <w:kern w:val="44"/>
                <w:szCs w:val="21"/>
              </w:rPr>
              <w:t xml:space="preserve">（5）电磁辐射 </w:t>
            </w:r>
          </w:p>
          <w:p>
            <w:pPr>
              <w:spacing w:line="480" w:lineRule="exact"/>
              <w:ind w:firstLine="420" w:firstLineChars="200"/>
              <w:rPr>
                <w:color w:val="000000" w:themeColor="text1"/>
                <w:kern w:val="44"/>
                <w:szCs w:val="21"/>
                <w14:textFill>
                  <w14:solidFill>
                    <w14:schemeClr w14:val="tx1"/>
                  </w14:solidFill>
                </w14:textFill>
              </w:rPr>
            </w:pPr>
            <w:r>
              <w:rPr>
                <w:rFonts w:hint="eastAsia"/>
                <w:color w:val="000000" w:themeColor="text1"/>
                <w:kern w:val="44"/>
                <w:szCs w:val="21"/>
                <w14:textFill>
                  <w14:solidFill>
                    <w14:schemeClr w14:val="tx1"/>
                  </w14:solidFill>
                </w14:textFill>
              </w:rPr>
              <w:t xml:space="preserve">本项目不存在电磁辐射影响。 </w:t>
            </w:r>
          </w:p>
          <w:p>
            <w:pPr>
              <w:spacing w:line="460" w:lineRule="exact"/>
              <w:ind w:firstLine="420" w:firstLineChars="200"/>
              <w:rPr>
                <w:color w:val="000000" w:themeColor="text1"/>
                <w:kern w:val="44"/>
                <w:szCs w:val="21"/>
                <w14:textFill>
                  <w14:solidFill>
                    <w14:schemeClr w14:val="tx1"/>
                  </w14:solidFill>
                </w14:textFill>
              </w:rPr>
            </w:pPr>
            <w:r>
              <w:rPr>
                <w:rFonts w:hint="eastAsia"/>
                <w:color w:val="000000" w:themeColor="text1"/>
                <w:kern w:val="44"/>
                <w:szCs w:val="21"/>
                <w14:textFill>
                  <w14:solidFill>
                    <w14:schemeClr w14:val="tx1"/>
                  </w14:solidFill>
                </w14:textFill>
              </w:rPr>
              <w:t xml:space="preserve">（6）地下水、土壤 </w:t>
            </w:r>
          </w:p>
          <w:p>
            <w:pPr>
              <w:pStyle w:val="8"/>
              <w:spacing w:before="0" w:after="0" w:line="360" w:lineRule="auto"/>
              <w:ind w:right="0" w:firstLine="420" w:firstLineChars="200"/>
              <w:rPr>
                <w:color w:val="000000" w:themeColor="text1"/>
                <w:sz w:val="21"/>
                <w:szCs w:val="21"/>
                <w14:textFill>
                  <w14:solidFill>
                    <w14:schemeClr w14:val="tx1"/>
                  </w14:solidFill>
                </w14:textFill>
              </w:rPr>
            </w:pPr>
            <w:r>
              <w:rPr>
                <w:rFonts w:hint="eastAsia"/>
                <w:color w:val="000000" w:themeColor="text1"/>
                <w:kern w:val="44"/>
                <w:sz w:val="21"/>
                <w:szCs w:val="21"/>
                <w14:textFill>
                  <w14:solidFill>
                    <w14:schemeClr w14:val="tx1"/>
                  </w14:solidFill>
                </w14:textFill>
              </w:rPr>
              <w:t>本项目位于江苏省常州市武进国家高新技术产业开发区龙逸路76号</w:t>
            </w:r>
            <w:r>
              <w:rPr>
                <w:rFonts w:hint="eastAsia"/>
                <w:color w:val="000000" w:themeColor="text1"/>
                <w:sz w:val="21"/>
                <w:szCs w:val="21"/>
                <w14:textFill>
                  <w14:solidFill>
                    <w14:schemeClr w14:val="tx1"/>
                  </w14:solidFill>
                </w14:textFill>
              </w:rPr>
              <w:t>，租用常州市武进第一耐火有限公司</w:t>
            </w:r>
            <w:r>
              <w:rPr>
                <w:rFonts w:hint="eastAsia"/>
                <w:color w:val="000000" w:themeColor="text1"/>
                <w:sz w:val="21"/>
                <w:szCs w:val="21"/>
                <w:lang w:val="en-US" w:eastAsia="zh-CN"/>
                <w14:textFill>
                  <w14:solidFill>
                    <w14:schemeClr w14:val="tx1"/>
                  </w14:solidFill>
                </w14:textFill>
              </w:rPr>
              <w:t>现有厂房</w:t>
            </w:r>
            <w:r>
              <w:rPr>
                <w:rFonts w:hint="eastAsia"/>
                <w:color w:val="000000" w:themeColor="text1"/>
                <w:kern w:val="44"/>
                <w:sz w:val="21"/>
                <w:szCs w:val="21"/>
                <w14:textFill>
                  <w14:solidFill>
                    <w14:schemeClr w14:val="tx1"/>
                  </w14:solidFill>
                </w14:textFill>
              </w:rPr>
              <w:t>车间</w:t>
            </w:r>
            <w:r>
              <w:rPr>
                <w:rFonts w:hint="eastAsia"/>
                <w:color w:val="000000" w:themeColor="text1"/>
                <w:kern w:val="44"/>
                <w:sz w:val="21"/>
                <w:szCs w:val="21"/>
                <w:lang w:eastAsia="zh-CN"/>
                <w14:textFill>
                  <w14:solidFill>
                    <w14:schemeClr w14:val="tx1"/>
                  </w14:solidFill>
                </w14:textFill>
              </w:rPr>
              <w:t>，</w:t>
            </w:r>
            <w:r>
              <w:rPr>
                <w:rFonts w:hint="eastAsia"/>
                <w:color w:val="000000" w:themeColor="text1"/>
                <w:kern w:val="44"/>
                <w:sz w:val="21"/>
                <w:szCs w:val="21"/>
                <w:lang w:val="en-US" w:eastAsia="zh-CN"/>
                <w14:textFill>
                  <w14:solidFill>
                    <w14:schemeClr w14:val="tx1"/>
                  </w14:solidFill>
                </w14:textFill>
              </w:rPr>
              <w:t>车间</w:t>
            </w:r>
            <w:r>
              <w:rPr>
                <w:rFonts w:hint="eastAsia"/>
                <w:color w:val="000000" w:themeColor="text1"/>
                <w:kern w:val="44"/>
                <w:sz w:val="21"/>
                <w:szCs w:val="21"/>
                <w14:textFill>
                  <w14:solidFill>
                    <w14:schemeClr w14:val="tx1"/>
                  </w14:solidFill>
                </w14:textFill>
              </w:rPr>
              <w:t>内部已采取防腐防渗措施，不开展地下水环境及土壤环境质量现状调查。</w:t>
            </w:r>
          </w:p>
          <w:p>
            <w:pPr>
              <w:numPr>
                <w:ilvl w:val="0"/>
                <w:numId w:val="6"/>
              </w:numPr>
              <w:adjustRightInd w:val="0"/>
              <w:snapToGrid w:val="0"/>
              <w:spacing w:line="360" w:lineRule="auto"/>
              <w:ind w:firstLine="422" w:firstLineChars="200"/>
              <w:jc w:val="left"/>
              <w:rPr>
                <w:b/>
                <w:bCs/>
                <w:color w:val="000000" w:themeColor="text1"/>
                <w14:textFill>
                  <w14:solidFill>
                    <w14:schemeClr w14:val="tx1"/>
                  </w14:solidFill>
                </w14:textFill>
              </w:rPr>
            </w:pPr>
            <w:r>
              <w:rPr>
                <w:b/>
                <w:bCs/>
                <w:color w:val="000000" w:themeColor="text1"/>
                <w14:textFill>
                  <w14:solidFill>
                    <w14:schemeClr w14:val="tx1"/>
                  </w14:solidFill>
                </w14:textFill>
              </w:rPr>
              <w:t>环境质量标准</w:t>
            </w:r>
          </w:p>
          <w:p>
            <w:pPr>
              <w:spacing w:line="360" w:lineRule="auto"/>
              <w:ind w:firstLine="420" w:firstLineChars="200"/>
              <w:rPr>
                <w:kern w:val="0"/>
                <w:szCs w:val="21"/>
              </w:rPr>
            </w:pPr>
            <w:r>
              <w:rPr>
                <w:szCs w:val="21"/>
              </w:rPr>
              <w:t>1、</w:t>
            </w:r>
            <w:r>
              <w:rPr>
                <w:kern w:val="0"/>
                <w:szCs w:val="21"/>
              </w:rPr>
              <w:t>地表水环境质量标准</w:t>
            </w:r>
          </w:p>
          <w:p>
            <w:pPr>
              <w:spacing w:line="360" w:lineRule="auto"/>
              <w:ind w:firstLine="420" w:firstLineChars="200"/>
              <w:rPr>
                <w:kern w:val="0"/>
                <w:szCs w:val="21"/>
              </w:rPr>
            </w:pPr>
            <w:r>
              <w:rPr>
                <w:kern w:val="0"/>
                <w:szCs w:val="21"/>
              </w:rPr>
              <w:t xml:space="preserve">本项目生活污水排入市政污水管网，接管进武南污水处理厂集中处理，达标尾水排入武南河。根据苏环办〔2022〕82号 </w:t>
            </w:r>
            <w:r>
              <w:rPr>
                <w:rFonts w:hint="eastAsia"/>
                <w:kern w:val="0"/>
                <w:szCs w:val="21"/>
              </w:rPr>
              <w:t>《</w:t>
            </w:r>
            <w:r>
              <w:rPr>
                <w:kern w:val="0"/>
                <w:szCs w:val="21"/>
              </w:rPr>
              <w:t>江苏省地表水（环境）功能区划（2021-2030）</w:t>
            </w:r>
            <w:r>
              <w:rPr>
                <w:rFonts w:hint="eastAsia"/>
                <w:kern w:val="0"/>
                <w:szCs w:val="21"/>
              </w:rPr>
              <w:t>》</w:t>
            </w:r>
            <w:r>
              <w:rPr>
                <w:kern w:val="0"/>
                <w:szCs w:val="21"/>
              </w:rPr>
              <w:t>，武南河执行《地表水环境质量标准》（GB3838-2002）的</w:t>
            </w:r>
            <w:r>
              <w:rPr>
                <w:rFonts w:eastAsia="仿宋"/>
                <w:kern w:val="0"/>
                <w:szCs w:val="21"/>
              </w:rPr>
              <w:t>Ⅲ</w:t>
            </w:r>
            <w:r>
              <w:rPr>
                <w:kern w:val="0"/>
                <w:szCs w:val="21"/>
              </w:rPr>
              <w:t>类标准。具体标准见表3-8。</w:t>
            </w:r>
          </w:p>
          <w:p>
            <w:pPr>
              <w:spacing w:line="360" w:lineRule="auto"/>
              <w:jc w:val="center"/>
              <w:rPr>
                <w:b/>
                <w:szCs w:val="21"/>
              </w:rPr>
            </w:pPr>
            <w:r>
              <w:rPr>
                <w:b/>
                <w:bCs/>
                <w:szCs w:val="21"/>
              </w:rPr>
              <w:t xml:space="preserve">表3-8 </w:t>
            </w:r>
            <w:r>
              <w:rPr>
                <w:b/>
                <w:szCs w:val="21"/>
              </w:rPr>
              <w:t>地表水环境质量标准限值表</w:t>
            </w:r>
          </w:p>
          <w:tbl>
            <w:tblPr>
              <w:tblStyle w:val="21"/>
              <w:tblW w:w="797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924"/>
              <w:gridCol w:w="2129"/>
              <w:gridCol w:w="1275"/>
              <w:gridCol w:w="1498"/>
              <w:gridCol w:w="986"/>
              <w:gridCol w:w="11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924" w:type="dxa"/>
                  <w:tcBorders>
                    <w:top w:val="single" w:color="auto" w:sz="12" w:space="0"/>
                  </w:tcBorders>
                  <w:vAlign w:val="center"/>
                </w:tcPr>
                <w:p>
                  <w:pPr>
                    <w:jc w:val="center"/>
                    <w:rPr>
                      <w:b/>
                      <w:bCs/>
                      <w:szCs w:val="21"/>
                    </w:rPr>
                  </w:pPr>
                  <w:r>
                    <w:rPr>
                      <w:b/>
                      <w:bCs/>
                      <w:szCs w:val="21"/>
                    </w:rPr>
                    <w:t>水域名</w:t>
                  </w:r>
                </w:p>
              </w:tc>
              <w:tc>
                <w:tcPr>
                  <w:tcW w:w="2129" w:type="dxa"/>
                  <w:tcBorders>
                    <w:top w:val="single" w:color="auto" w:sz="12" w:space="0"/>
                  </w:tcBorders>
                  <w:vAlign w:val="center"/>
                </w:tcPr>
                <w:p>
                  <w:pPr>
                    <w:jc w:val="center"/>
                    <w:rPr>
                      <w:b/>
                      <w:bCs/>
                      <w:szCs w:val="21"/>
                    </w:rPr>
                  </w:pPr>
                  <w:r>
                    <w:rPr>
                      <w:b/>
                      <w:bCs/>
                      <w:szCs w:val="21"/>
                    </w:rPr>
                    <w:t>执行标准</w:t>
                  </w:r>
                </w:p>
              </w:tc>
              <w:tc>
                <w:tcPr>
                  <w:tcW w:w="1275" w:type="dxa"/>
                  <w:tcBorders>
                    <w:top w:val="single" w:color="auto" w:sz="12" w:space="0"/>
                  </w:tcBorders>
                  <w:vAlign w:val="center"/>
                </w:tcPr>
                <w:p>
                  <w:pPr>
                    <w:jc w:val="center"/>
                    <w:rPr>
                      <w:b/>
                      <w:bCs/>
                      <w:szCs w:val="21"/>
                    </w:rPr>
                  </w:pPr>
                  <w:r>
                    <w:rPr>
                      <w:b/>
                      <w:bCs/>
                      <w:szCs w:val="21"/>
                    </w:rPr>
                    <w:t>表号及级别</w:t>
                  </w:r>
                </w:p>
              </w:tc>
              <w:tc>
                <w:tcPr>
                  <w:tcW w:w="1498" w:type="dxa"/>
                  <w:tcBorders>
                    <w:top w:val="single" w:color="auto" w:sz="12" w:space="0"/>
                  </w:tcBorders>
                  <w:vAlign w:val="center"/>
                </w:tcPr>
                <w:p>
                  <w:pPr>
                    <w:jc w:val="center"/>
                    <w:rPr>
                      <w:b/>
                      <w:bCs/>
                      <w:szCs w:val="21"/>
                    </w:rPr>
                  </w:pPr>
                  <w:r>
                    <w:rPr>
                      <w:b/>
                      <w:bCs/>
                      <w:szCs w:val="21"/>
                    </w:rPr>
                    <w:t>污染物指标</w:t>
                  </w:r>
                </w:p>
              </w:tc>
              <w:tc>
                <w:tcPr>
                  <w:tcW w:w="986" w:type="dxa"/>
                  <w:tcBorders>
                    <w:top w:val="single" w:color="auto" w:sz="12" w:space="0"/>
                  </w:tcBorders>
                  <w:vAlign w:val="center"/>
                </w:tcPr>
                <w:p>
                  <w:pPr>
                    <w:jc w:val="center"/>
                    <w:rPr>
                      <w:b/>
                      <w:bCs/>
                      <w:szCs w:val="21"/>
                    </w:rPr>
                  </w:pPr>
                  <w:r>
                    <w:rPr>
                      <w:b/>
                      <w:bCs/>
                      <w:szCs w:val="21"/>
                    </w:rPr>
                    <w:t>单位</w:t>
                  </w:r>
                </w:p>
              </w:tc>
              <w:tc>
                <w:tcPr>
                  <w:tcW w:w="1162" w:type="dxa"/>
                  <w:tcBorders>
                    <w:top w:val="single" w:color="auto" w:sz="12" w:space="0"/>
                  </w:tcBorders>
                  <w:vAlign w:val="center"/>
                </w:tcPr>
                <w:p>
                  <w:pPr>
                    <w:jc w:val="center"/>
                    <w:rPr>
                      <w:b/>
                      <w:bCs/>
                      <w:szCs w:val="21"/>
                    </w:rPr>
                  </w:pPr>
                  <w:r>
                    <w:rPr>
                      <w:b/>
                      <w:bCs/>
                      <w:szCs w:val="21"/>
                    </w:rPr>
                    <w:t>标准限值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924" w:type="dxa"/>
                  <w:vMerge w:val="restart"/>
                  <w:vAlign w:val="center"/>
                </w:tcPr>
                <w:p>
                  <w:pPr>
                    <w:jc w:val="center"/>
                    <w:rPr>
                      <w:szCs w:val="21"/>
                    </w:rPr>
                  </w:pPr>
                  <w:r>
                    <w:rPr>
                      <w:szCs w:val="21"/>
                    </w:rPr>
                    <w:t>武南河</w:t>
                  </w:r>
                </w:p>
              </w:tc>
              <w:tc>
                <w:tcPr>
                  <w:tcW w:w="2129" w:type="dxa"/>
                  <w:vMerge w:val="restart"/>
                  <w:vAlign w:val="center"/>
                </w:tcPr>
                <w:p>
                  <w:pPr>
                    <w:jc w:val="center"/>
                    <w:rPr>
                      <w:spacing w:val="-6"/>
                      <w:szCs w:val="21"/>
                    </w:rPr>
                  </w:pPr>
                  <w:r>
                    <w:rPr>
                      <w:spacing w:val="-6"/>
                      <w:szCs w:val="21"/>
                    </w:rPr>
                    <w:t>《地表水环境质量标准》</w:t>
                  </w:r>
                </w:p>
                <w:p>
                  <w:pPr>
                    <w:jc w:val="center"/>
                    <w:rPr>
                      <w:szCs w:val="21"/>
                    </w:rPr>
                  </w:pPr>
                  <w:r>
                    <w:rPr>
                      <w:szCs w:val="21"/>
                    </w:rPr>
                    <w:t>（GB3838-2002）</w:t>
                  </w:r>
                </w:p>
              </w:tc>
              <w:tc>
                <w:tcPr>
                  <w:tcW w:w="1275" w:type="dxa"/>
                  <w:vMerge w:val="restart"/>
                  <w:vAlign w:val="center"/>
                </w:tcPr>
                <w:p>
                  <w:pPr>
                    <w:jc w:val="center"/>
                    <w:rPr>
                      <w:szCs w:val="21"/>
                    </w:rPr>
                  </w:pPr>
                  <w:r>
                    <w:rPr>
                      <w:szCs w:val="21"/>
                    </w:rPr>
                    <w:t>表1</w:t>
                  </w:r>
                </w:p>
                <w:p>
                  <w:pPr>
                    <w:jc w:val="center"/>
                    <w:rPr>
                      <w:szCs w:val="21"/>
                    </w:rPr>
                  </w:pPr>
                  <w:r>
                    <w:rPr>
                      <w:rFonts w:eastAsia="仿宋"/>
                      <w:szCs w:val="21"/>
                    </w:rPr>
                    <w:t>Ⅲ</w:t>
                  </w:r>
                  <w:r>
                    <w:rPr>
                      <w:szCs w:val="21"/>
                    </w:rPr>
                    <w:t>类</w:t>
                  </w:r>
                </w:p>
              </w:tc>
              <w:tc>
                <w:tcPr>
                  <w:tcW w:w="1498" w:type="dxa"/>
                  <w:vAlign w:val="center"/>
                </w:tcPr>
                <w:p>
                  <w:pPr>
                    <w:jc w:val="center"/>
                    <w:rPr>
                      <w:szCs w:val="21"/>
                    </w:rPr>
                  </w:pPr>
                  <w:r>
                    <w:rPr>
                      <w:szCs w:val="21"/>
                    </w:rPr>
                    <w:t>pH</w:t>
                  </w:r>
                </w:p>
              </w:tc>
              <w:tc>
                <w:tcPr>
                  <w:tcW w:w="986" w:type="dxa"/>
                  <w:vAlign w:val="center"/>
                </w:tcPr>
                <w:p>
                  <w:pPr>
                    <w:jc w:val="center"/>
                    <w:rPr>
                      <w:szCs w:val="21"/>
                    </w:rPr>
                  </w:pPr>
                  <w:r>
                    <w:rPr>
                      <w:szCs w:val="21"/>
                    </w:rPr>
                    <w:t>无量纲</w:t>
                  </w:r>
                </w:p>
              </w:tc>
              <w:tc>
                <w:tcPr>
                  <w:tcW w:w="1162" w:type="dxa"/>
                  <w:vAlign w:val="center"/>
                </w:tcPr>
                <w:p>
                  <w:pPr>
                    <w:jc w:val="center"/>
                    <w:rPr>
                      <w:szCs w:val="21"/>
                    </w:rPr>
                  </w:pPr>
                  <w:r>
                    <w:rPr>
                      <w:szCs w:val="21"/>
                    </w:rPr>
                    <w:t>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924" w:type="dxa"/>
                  <w:vMerge w:val="continue"/>
                  <w:vAlign w:val="center"/>
                </w:tcPr>
                <w:p>
                  <w:pPr>
                    <w:jc w:val="center"/>
                    <w:rPr>
                      <w:szCs w:val="21"/>
                    </w:rPr>
                  </w:pPr>
                </w:p>
              </w:tc>
              <w:tc>
                <w:tcPr>
                  <w:tcW w:w="2129" w:type="dxa"/>
                  <w:vMerge w:val="continue"/>
                  <w:vAlign w:val="center"/>
                </w:tcPr>
                <w:p>
                  <w:pPr>
                    <w:jc w:val="center"/>
                    <w:rPr>
                      <w:szCs w:val="21"/>
                    </w:rPr>
                  </w:pPr>
                </w:p>
              </w:tc>
              <w:tc>
                <w:tcPr>
                  <w:tcW w:w="1275" w:type="dxa"/>
                  <w:vMerge w:val="continue"/>
                  <w:vAlign w:val="center"/>
                </w:tcPr>
                <w:p>
                  <w:pPr>
                    <w:jc w:val="center"/>
                    <w:rPr>
                      <w:szCs w:val="21"/>
                    </w:rPr>
                  </w:pPr>
                </w:p>
              </w:tc>
              <w:tc>
                <w:tcPr>
                  <w:tcW w:w="1498" w:type="dxa"/>
                  <w:vAlign w:val="center"/>
                </w:tcPr>
                <w:p>
                  <w:pPr>
                    <w:jc w:val="center"/>
                    <w:rPr>
                      <w:szCs w:val="21"/>
                    </w:rPr>
                  </w:pPr>
                  <w:r>
                    <w:rPr>
                      <w:szCs w:val="21"/>
                    </w:rPr>
                    <w:t>COD</w:t>
                  </w:r>
                </w:p>
              </w:tc>
              <w:tc>
                <w:tcPr>
                  <w:tcW w:w="986" w:type="dxa"/>
                  <w:vMerge w:val="restart"/>
                  <w:vAlign w:val="center"/>
                </w:tcPr>
                <w:p>
                  <w:pPr>
                    <w:jc w:val="center"/>
                    <w:rPr>
                      <w:szCs w:val="21"/>
                    </w:rPr>
                  </w:pPr>
                  <w:r>
                    <w:rPr>
                      <w:szCs w:val="21"/>
                    </w:rPr>
                    <w:t>mg/L</w:t>
                  </w:r>
                </w:p>
              </w:tc>
              <w:tc>
                <w:tcPr>
                  <w:tcW w:w="1162" w:type="dxa"/>
                  <w:vAlign w:val="center"/>
                </w:tcPr>
                <w:p>
                  <w:pPr>
                    <w:jc w:val="center"/>
                    <w:rPr>
                      <w:szCs w:val="21"/>
                    </w:rPr>
                  </w:pPr>
                  <w:r>
                    <w:rPr>
                      <w:rFonts w:hint="eastAsia"/>
                      <w:szCs w:val="21"/>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924" w:type="dxa"/>
                  <w:vMerge w:val="continue"/>
                  <w:vAlign w:val="center"/>
                </w:tcPr>
                <w:p>
                  <w:pPr>
                    <w:jc w:val="center"/>
                    <w:rPr>
                      <w:szCs w:val="21"/>
                    </w:rPr>
                  </w:pPr>
                </w:p>
              </w:tc>
              <w:tc>
                <w:tcPr>
                  <w:tcW w:w="2129" w:type="dxa"/>
                  <w:vMerge w:val="continue"/>
                  <w:vAlign w:val="center"/>
                </w:tcPr>
                <w:p>
                  <w:pPr>
                    <w:jc w:val="center"/>
                    <w:rPr>
                      <w:szCs w:val="21"/>
                    </w:rPr>
                  </w:pPr>
                </w:p>
              </w:tc>
              <w:tc>
                <w:tcPr>
                  <w:tcW w:w="1275" w:type="dxa"/>
                  <w:vMerge w:val="continue"/>
                  <w:vAlign w:val="center"/>
                </w:tcPr>
                <w:p>
                  <w:pPr>
                    <w:jc w:val="center"/>
                    <w:rPr>
                      <w:szCs w:val="21"/>
                    </w:rPr>
                  </w:pPr>
                </w:p>
              </w:tc>
              <w:tc>
                <w:tcPr>
                  <w:tcW w:w="1498" w:type="dxa"/>
                  <w:vAlign w:val="center"/>
                </w:tcPr>
                <w:p>
                  <w:pPr>
                    <w:jc w:val="center"/>
                    <w:rPr>
                      <w:szCs w:val="21"/>
                    </w:rPr>
                  </w:pPr>
                  <w:r>
                    <w:rPr>
                      <w:szCs w:val="21"/>
                    </w:rPr>
                    <w:t>NH</w:t>
                  </w:r>
                  <w:r>
                    <w:rPr>
                      <w:szCs w:val="21"/>
                      <w:vertAlign w:val="subscript"/>
                    </w:rPr>
                    <w:t>3</w:t>
                  </w:r>
                  <w:r>
                    <w:rPr>
                      <w:szCs w:val="21"/>
                    </w:rPr>
                    <w:t>-N</w:t>
                  </w:r>
                </w:p>
              </w:tc>
              <w:tc>
                <w:tcPr>
                  <w:tcW w:w="986" w:type="dxa"/>
                  <w:vMerge w:val="continue"/>
                  <w:vAlign w:val="center"/>
                </w:tcPr>
                <w:p>
                  <w:pPr>
                    <w:jc w:val="center"/>
                    <w:rPr>
                      <w:szCs w:val="21"/>
                    </w:rPr>
                  </w:pPr>
                </w:p>
              </w:tc>
              <w:tc>
                <w:tcPr>
                  <w:tcW w:w="1162" w:type="dxa"/>
                  <w:vAlign w:val="center"/>
                </w:tcPr>
                <w:p>
                  <w:pPr>
                    <w:jc w:val="center"/>
                    <w:rPr>
                      <w:szCs w:val="21"/>
                    </w:rPr>
                  </w:pPr>
                  <w:r>
                    <w:rPr>
                      <w:szCs w:val="21"/>
                    </w:rPr>
                    <w:t>1.</w:t>
                  </w:r>
                  <w:r>
                    <w:rPr>
                      <w:rFonts w:hint="eastAsia"/>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924" w:type="dxa"/>
                  <w:vMerge w:val="continue"/>
                  <w:tcBorders>
                    <w:bottom w:val="single" w:color="auto" w:sz="12" w:space="0"/>
                  </w:tcBorders>
                  <w:vAlign w:val="center"/>
                </w:tcPr>
                <w:p>
                  <w:pPr>
                    <w:jc w:val="center"/>
                    <w:rPr>
                      <w:szCs w:val="21"/>
                    </w:rPr>
                  </w:pPr>
                </w:p>
              </w:tc>
              <w:tc>
                <w:tcPr>
                  <w:tcW w:w="2129" w:type="dxa"/>
                  <w:vMerge w:val="continue"/>
                  <w:tcBorders>
                    <w:bottom w:val="single" w:color="auto" w:sz="12" w:space="0"/>
                  </w:tcBorders>
                  <w:vAlign w:val="center"/>
                </w:tcPr>
                <w:p>
                  <w:pPr>
                    <w:jc w:val="center"/>
                    <w:rPr>
                      <w:szCs w:val="21"/>
                    </w:rPr>
                  </w:pPr>
                </w:p>
              </w:tc>
              <w:tc>
                <w:tcPr>
                  <w:tcW w:w="1275" w:type="dxa"/>
                  <w:vMerge w:val="continue"/>
                  <w:tcBorders>
                    <w:bottom w:val="single" w:color="auto" w:sz="12" w:space="0"/>
                  </w:tcBorders>
                  <w:vAlign w:val="center"/>
                </w:tcPr>
                <w:p>
                  <w:pPr>
                    <w:jc w:val="center"/>
                    <w:rPr>
                      <w:szCs w:val="21"/>
                    </w:rPr>
                  </w:pPr>
                </w:p>
              </w:tc>
              <w:tc>
                <w:tcPr>
                  <w:tcW w:w="1498" w:type="dxa"/>
                  <w:tcBorders>
                    <w:bottom w:val="single" w:color="auto" w:sz="12" w:space="0"/>
                  </w:tcBorders>
                  <w:vAlign w:val="center"/>
                </w:tcPr>
                <w:p>
                  <w:pPr>
                    <w:jc w:val="center"/>
                    <w:rPr>
                      <w:szCs w:val="21"/>
                    </w:rPr>
                  </w:pPr>
                  <w:r>
                    <w:rPr>
                      <w:szCs w:val="21"/>
                    </w:rPr>
                    <w:t>TP</w:t>
                  </w:r>
                </w:p>
              </w:tc>
              <w:tc>
                <w:tcPr>
                  <w:tcW w:w="986" w:type="dxa"/>
                  <w:vMerge w:val="continue"/>
                  <w:tcBorders>
                    <w:bottom w:val="single" w:color="auto" w:sz="12" w:space="0"/>
                  </w:tcBorders>
                  <w:vAlign w:val="center"/>
                </w:tcPr>
                <w:p>
                  <w:pPr>
                    <w:jc w:val="center"/>
                    <w:rPr>
                      <w:szCs w:val="21"/>
                    </w:rPr>
                  </w:pPr>
                </w:p>
              </w:tc>
              <w:tc>
                <w:tcPr>
                  <w:tcW w:w="1162" w:type="dxa"/>
                  <w:tcBorders>
                    <w:bottom w:val="single" w:color="auto" w:sz="12" w:space="0"/>
                  </w:tcBorders>
                  <w:vAlign w:val="center"/>
                </w:tcPr>
                <w:p>
                  <w:pPr>
                    <w:jc w:val="center"/>
                    <w:rPr>
                      <w:szCs w:val="21"/>
                    </w:rPr>
                  </w:pPr>
                  <w:r>
                    <w:rPr>
                      <w:szCs w:val="21"/>
                    </w:rPr>
                    <w:t>0.</w:t>
                  </w:r>
                  <w:r>
                    <w:rPr>
                      <w:rFonts w:hint="eastAsia"/>
                      <w:szCs w:val="21"/>
                    </w:rPr>
                    <w:t>2</w:t>
                  </w:r>
                </w:p>
              </w:tc>
            </w:tr>
          </w:tbl>
          <w:p>
            <w:pPr>
              <w:spacing w:line="360" w:lineRule="auto"/>
              <w:ind w:firstLine="420" w:firstLineChars="200"/>
              <w:rPr>
                <w:kern w:val="0"/>
                <w:szCs w:val="21"/>
              </w:rPr>
            </w:pPr>
            <w:r>
              <w:rPr>
                <w:kern w:val="0"/>
                <w:szCs w:val="21"/>
              </w:rPr>
              <w:t>2、环境空气质量标准</w:t>
            </w:r>
          </w:p>
          <w:p>
            <w:pPr>
              <w:spacing w:line="360" w:lineRule="auto"/>
              <w:ind w:firstLine="420" w:firstLineChars="200"/>
              <w:rPr>
                <w:szCs w:val="21"/>
              </w:rPr>
            </w:pPr>
            <w:r>
              <w:rPr>
                <w:rFonts w:hint="eastAsia"/>
                <w:szCs w:val="21"/>
              </w:rPr>
              <w:t>本项目所在区域为二类功能区，SO</w:t>
            </w:r>
            <w:r>
              <w:rPr>
                <w:rFonts w:hint="eastAsia"/>
                <w:szCs w:val="21"/>
                <w:vertAlign w:val="subscript"/>
              </w:rPr>
              <w:t>2</w:t>
            </w:r>
            <w:r>
              <w:rPr>
                <w:rFonts w:hint="eastAsia"/>
                <w:szCs w:val="21"/>
              </w:rPr>
              <w:t>、NO</w:t>
            </w:r>
            <w:r>
              <w:rPr>
                <w:rFonts w:hint="eastAsia"/>
                <w:szCs w:val="21"/>
                <w:vertAlign w:val="subscript"/>
              </w:rPr>
              <w:t>2</w:t>
            </w:r>
            <w:r>
              <w:rPr>
                <w:rFonts w:hint="eastAsia"/>
                <w:szCs w:val="21"/>
              </w:rPr>
              <w:t>、CO、O</w:t>
            </w:r>
            <w:r>
              <w:rPr>
                <w:rFonts w:hint="eastAsia"/>
                <w:szCs w:val="21"/>
                <w:vertAlign w:val="subscript"/>
              </w:rPr>
              <w:t>3</w:t>
            </w:r>
            <w:r>
              <w:rPr>
                <w:rFonts w:hint="eastAsia"/>
                <w:szCs w:val="21"/>
              </w:rPr>
              <w:t>、PM</w:t>
            </w:r>
            <w:r>
              <w:rPr>
                <w:rFonts w:hint="eastAsia"/>
                <w:szCs w:val="21"/>
                <w:vertAlign w:val="subscript"/>
              </w:rPr>
              <w:t>10</w:t>
            </w:r>
            <w:r>
              <w:rPr>
                <w:rFonts w:hint="eastAsia"/>
                <w:szCs w:val="21"/>
              </w:rPr>
              <w:t>、PM</w:t>
            </w:r>
            <w:r>
              <w:rPr>
                <w:rFonts w:hint="eastAsia"/>
                <w:szCs w:val="21"/>
                <w:vertAlign w:val="subscript"/>
              </w:rPr>
              <w:t>2.5</w:t>
            </w:r>
            <w:r>
              <w:rPr>
                <w:rFonts w:hint="eastAsia"/>
                <w:szCs w:val="21"/>
              </w:rPr>
              <w:t>执行《环境空气质量标准》（GB3095-2012）及其修改单表 1 中的二级标准。具体标准值详见下表</w:t>
            </w:r>
            <w:r>
              <w:rPr>
                <w:szCs w:val="21"/>
              </w:rPr>
              <w:t>。</w:t>
            </w:r>
          </w:p>
          <w:p>
            <w:pPr>
              <w:spacing w:line="360" w:lineRule="auto"/>
              <w:jc w:val="center"/>
              <w:rPr>
                <w:b/>
                <w:szCs w:val="21"/>
              </w:rPr>
            </w:pPr>
            <w:r>
              <w:rPr>
                <w:b/>
                <w:bCs/>
                <w:szCs w:val="21"/>
              </w:rPr>
              <w:t xml:space="preserve">表3-9 </w:t>
            </w:r>
            <w:r>
              <w:rPr>
                <w:b/>
                <w:szCs w:val="21"/>
              </w:rPr>
              <w:t>环境空气质量标准限值表</w:t>
            </w:r>
          </w:p>
          <w:tbl>
            <w:tblPr>
              <w:tblStyle w:val="21"/>
              <w:tblW w:w="7974"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784"/>
              <w:gridCol w:w="1098"/>
              <w:gridCol w:w="826"/>
              <w:gridCol w:w="29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tcBorders>
                    <w:top w:val="single" w:color="auto" w:sz="12" w:space="0"/>
                  </w:tcBorders>
                  <w:vAlign w:val="center"/>
                </w:tcPr>
                <w:p>
                  <w:pPr>
                    <w:pStyle w:val="23"/>
                    <w:spacing w:beforeLines="0" w:line="240" w:lineRule="auto"/>
                    <w:ind w:firstLine="0" w:firstLineChars="0"/>
                    <w:jc w:val="center"/>
                    <w:rPr>
                      <w:b/>
                      <w:sz w:val="21"/>
                      <w:szCs w:val="21"/>
                    </w:rPr>
                  </w:pPr>
                  <w:r>
                    <w:rPr>
                      <w:b/>
                      <w:sz w:val="21"/>
                      <w:szCs w:val="21"/>
                    </w:rPr>
                    <w:t>评价因子</w:t>
                  </w:r>
                </w:p>
              </w:tc>
              <w:tc>
                <w:tcPr>
                  <w:tcW w:w="1784" w:type="dxa"/>
                  <w:tcBorders>
                    <w:top w:val="single" w:color="auto" w:sz="12" w:space="0"/>
                  </w:tcBorders>
                  <w:vAlign w:val="center"/>
                </w:tcPr>
                <w:p>
                  <w:pPr>
                    <w:pStyle w:val="23"/>
                    <w:spacing w:beforeLines="0" w:line="240" w:lineRule="auto"/>
                    <w:ind w:firstLine="0" w:firstLineChars="0"/>
                    <w:jc w:val="center"/>
                    <w:rPr>
                      <w:b/>
                      <w:sz w:val="21"/>
                      <w:szCs w:val="21"/>
                    </w:rPr>
                  </w:pPr>
                  <w:r>
                    <w:rPr>
                      <w:b/>
                      <w:sz w:val="21"/>
                      <w:szCs w:val="21"/>
                    </w:rPr>
                    <w:t>平均时段</w:t>
                  </w:r>
                </w:p>
              </w:tc>
              <w:tc>
                <w:tcPr>
                  <w:tcW w:w="1098" w:type="dxa"/>
                  <w:tcBorders>
                    <w:top w:val="single" w:color="auto" w:sz="12" w:space="0"/>
                  </w:tcBorders>
                  <w:vAlign w:val="center"/>
                </w:tcPr>
                <w:p>
                  <w:pPr>
                    <w:pStyle w:val="23"/>
                    <w:spacing w:beforeLines="0" w:line="240" w:lineRule="auto"/>
                    <w:ind w:firstLine="0" w:firstLineChars="0"/>
                    <w:jc w:val="center"/>
                    <w:rPr>
                      <w:b/>
                      <w:sz w:val="21"/>
                      <w:szCs w:val="21"/>
                    </w:rPr>
                  </w:pPr>
                  <w:r>
                    <w:rPr>
                      <w:b/>
                      <w:sz w:val="21"/>
                      <w:szCs w:val="21"/>
                    </w:rPr>
                    <w:t>标准值</w:t>
                  </w:r>
                </w:p>
              </w:tc>
              <w:tc>
                <w:tcPr>
                  <w:tcW w:w="826" w:type="dxa"/>
                  <w:tcBorders>
                    <w:top w:val="single" w:color="auto" w:sz="12" w:space="0"/>
                  </w:tcBorders>
                  <w:vAlign w:val="center"/>
                </w:tcPr>
                <w:p>
                  <w:pPr>
                    <w:pStyle w:val="23"/>
                    <w:spacing w:beforeLines="0" w:line="240" w:lineRule="auto"/>
                    <w:ind w:firstLine="0" w:firstLineChars="0"/>
                    <w:jc w:val="center"/>
                    <w:rPr>
                      <w:b/>
                      <w:sz w:val="21"/>
                      <w:szCs w:val="21"/>
                    </w:rPr>
                  </w:pPr>
                  <w:r>
                    <w:rPr>
                      <w:b/>
                      <w:sz w:val="21"/>
                      <w:szCs w:val="21"/>
                    </w:rPr>
                    <w:t>单位</w:t>
                  </w:r>
                </w:p>
              </w:tc>
              <w:tc>
                <w:tcPr>
                  <w:tcW w:w="2973" w:type="dxa"/>
                  <w:tcBorders>
                    <w:top w:val="single" w:color="auto" w:sz="12" w:space="0"/>
                  </w:tcBorders>
                  <w:vAlign w:val="center"/>
                </w:tcPr>
                <w:p>
                  <w:pPr>
                    <w:pStyle w:val="23"/>
                    <w:spacing w:beforeLines="0" w:line="240" w:lineRule="auto"/>
                    <w:ind w:firstLine="0" w:firstLineChars="0"/>
                    <w:jc w:val="center"/>
                    <w:rPr>
                      <w:b/>
                      <w:sz w:val="21"/>
                      <w:szCs w:val="21"/>
                    </w:rPr>
                  </w:pPr>
                  <w:r>
                    <w:rPr>
                      <w:b/>
                      <w:sz w:val="21"/>
                      <w:szCs w:val="21"/>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vMerge w:val="restart"/>
                  <w:vAlign w:val="center"/>
                </w:tcPr>
                <w:p>
                  <w:pPr>
                    <w:pStyle w:val="23"/>
                    <w:spacing w:beforeLines="0" w:line="240" w:lineRule="auto"/>
                    <w:ind w:firstLine="0" w:firstLineChars="0"/>
                    <w:jc w:val="center"/>
                    <w:rPr>
                      <w:sz w:val="21"/>
                      <w:szCs w:val="21"/>
                    </w:rPr>
                  </w:pPr>
                  <w:r>
                    <w:rPr>
                      <w:sz w:val="21"/>
                      <w:szCs w:val="21"/>
                    </w:rPr>
                    <w:t>SO</w:t>
                  </w:r>
                  <w:r>
                    <w:rPr>
                      <w:sz w:val="21"/>
                      <w:szCs w:val="21"/>
                      <w:vertAlign w:val="subscript"/>
                    </w:rPr>
                    <w:t>2</w:t>
                  </w:r>
                </w:p>
              </w:tc>
              <w:tc>
                <w:tcPr>
                  <w:tcW w:w="1784" w:type="dxa"/>
                  <w:vAlign w:val="center"/>
                </w:tcPr>
                <w:p>
                  <w:pPr>
                    <w:jc w:val="center"/>
                    <w:rPr>
                      <w:szCs w:val="21"/>
                    </w:rPr>
                  </w:pPr>
                  <w:r>
                    <w:rPr>
                      <w:szCs w:val="21"/>
                    </w:rPr>
                    <w:t>年平均</w:t>
                  </w:r>
                </w:p>
              </w:tc>
              <w:tc>
                <w:tcPr>
                  <w:tcW w:w="1098" w:type="dxa"/>
                  <w:vAlign w:val="center"/>
                </w:tcPr>
                <w:p>
                  <w:pPr>
                    <w:pStyle w:val="23"/>
                    <w:spacing w:beforeLines="0" w:line="240" w:lineRule="auto"/>
                    <w:ind w:firstLine="0" w:firstLineChars="0"/>
                    <w:jc w:val="center"/>
                    <w:rPr>
                      <w:sz w:val="21"/>
                      <w:szCs w:val="21"/>
                    </w:rPr>
                  </w:pPr>
                  <w:r>
                    <w:rPr>
                      <w:sz w:val="21"/>
                      <w:szCs w:val="21"/>
                    </w:rPr>
                    <w:t>60</w:t>
                  </w:r>
                </w:p>
              </w:tc>
              <w:tc>
                <w:tcPr>
                  <w:tcW w:w="826" w:type="dxa"/>
                  <w:vMerge w:val="restart"/>
                  <w:vAlign w:val="center"/>
                </w:tcPr>
                <w:p>
                  <w:pPr>
                    <w:pStyle w:val="23"/>
                    <w:spacing w:beforeLines="0" w:line="240" w:lineRule="auto"/>
                    <w:ind w:firstLine="0" w:firstLineChars="0"/>
                    <w:jc w:val="center"/>
                    <w:rPr>
                      <w:sz w:val="21"/>
                      <w:szCs w:val="21"/>
                    </w:rPr>
                  </w:pPr>
                  <w:r>
                    <w:rPr>
                      <w:bCs/>
                      <w:sz w:val="21"/>
                      <w:szCs w:val="21"/>
                    </w:rPr>
                    <w:t>μg/m</w:t>
                  </w:r>
                  <w:r>
                    <w:rPr>
                      <w:bCs/>
                      <w:sz w:val="21"/>
                      <w:szCs w:val="21"/>
                      <w:vertAlign w:val="superscript"/>
                    </w:rPr>
                    <w:t>3</w:t>
                  </w:r>
                </w:p>
              </w:tc>
              <w:tc>
                <w:tcPr>
                  <w:tcW w:w="2973" w:type="dxa"/>
                  <w:vMerge w:val="restart"/>
                  <w:vAlign w:val="center"/>
                </w:tcPr>
                <w:p>
                  <w:pPr>
                    <w:pStyle w:val="23"/>
                    <w:spacing w:beforeLines="0" w:line="240" w:lineRule="auto"/>
                    <w:ind w:firstLine="0" w:firstLineChars="0"/>
                    <w:jc w:val="center"/>
                    <w:rPr>
                      <w:sz w:val="21"/>
                      <w:szCs w:val="21"/>
                    </w:rPr>
                  </w:pPr>
                  <w:r>
                    <w:rPr>
                      <w:sz w:val="21"/>
                      <w:szCs w:val="21"/>
                    </w:rPr>
                    <w:t>《环境空气质量标准》GB3095-2012) 表1 二级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vMerge w:val="continue"/>
                  <w:vAlign w:val="center"/>
                </w:tcPr>
                <w:p>
                  <w:pPr>
                    <w:pStyle w:val="23"/>
                    <w:spacing w:beforeLines="0" w:line="240" w:lineRule="auto"/>
                    <w:ind w:firstLine="0" w:firstLineChars="0"/>
                    <w:jc w:val="center"/>
                    <w:rPr>
                      <w:sz w:val="21"/>
                      <w:szCs w:val="21"/>
                    </w:rPr>
                  </w:pPr>
                </w:p>
              </w:tc>
              <w:tc>
                <w:tcPr>
                  <w:tcW w:w="1784" w:type="dxa"/>
                  <w:vAlign w:val="center"/>
                </w:tcPr>
                <w:p>
                  <w:pPr>
                    <w:pStyle w:val="23"/>
                    <w:spacing w:beforeLines="0" w:line="240" w:lineRule="auto"/>
                    <w:ind w:firstLine="0" w:firstLineChars="0"/>
                    <w:jc w:val="center"/>
                    <w:rPr>
                      <w:sz w:val="21"/>
                      <w:szCs w:val="21"/>
                    </w:rPr>
                  </w:pPr>
                  <w:r>
                    <w:rPr>
                      <w:sz w:val="21"/>
                      <w:szCs w:val="21"/>
                    </w:rPr>
                    <w:t>24小时平均</w:t>
                  </w:r>
                </w:p>
              </w:tc>
              <w:tc>
                <w:tcPr>
                  <w:tcW w:w="1098" w:type="dxa"/>
                  <w:vAlign w:val="center"/>
                </w:tcPr>
                <w:p>
                  <w:pPr>
                    <w:pStyle w:val="23"/>
                    <w:spacing w:beforeLines="0" w:line="240" w:lineRule="auto"/>
                    <w:ind w:firstLine="0" w:firstLineChars="0"/>
                    <w:jc w:val="center"/>
                    <w:rPr>
                      <w:sz w:val="21"/>
                      <w:szCs w:val="21"/>
                    </w:rPr>
                  </w:pPr>
                  <w:r>
                    <w:rPr>
                      <w:sz w:val="21"/>
                      <w:szCs w:val="21"/>
                    </w:rPr>
                    <w:t>150</w:t>
                  </w:r>
                </w:p>
              </w:tc>
              <w:tc>
                <w:tcPr>
                  <w:tcW w:w="826" w:type="dxa"/>
                  <w:vMerge w:val="continue"/>
                  <w:vAlign w:val="center"/>
                </w:tcPr>
                <w:p>
                  <w:pPr>
                    <w:pStyle w:val="23"/>
                    <w:spacing w:beforeLines="0" w:line="240" w:lineRule="auto"/>
                    <w:ind w:firstLine="0" w:firstLineChars="0"/>
                    <w:jc w:val="center"/>
                    <w:rPr>
                      <w:sz w:val="21"/>
                      <w:szCs w:val="21"/>
                    </w:rPr>
                  </w:pPr>
                </w:p>
              </w:tc>
              <w:tc>
                <w:tcPr>
                  <w:tcW w:w="2973" w:type="dxa"/>
                  <w:vMerge w:val="continue"/>
                  <w:vAlign w:val="center"/>
                </w:tcPr>
                <w:p>
                  <w:pPr>
                    <w:pStyle w:val="23"/>
                    <w:spacing w:beforeLines="0"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vMerge w:val="continue"/>
                  <w:vAlign w:val="center"/>
                </w:tcPr>
                <w:p>
                  <w:pPr>
                    <w:pStyle w:val="23"/>
                    <w:spacing w:beforeLines="0" w:line="240" w:lineRule="auto"/>
                    <w:ind w:firstLine="0" w:firstLineChars="0"/>
                    <w:jc w:val="center"/>
                    <w:rPr>
                      <w:sz w:val="21"/>
                      <w:szCs w:val="21"/>
                    </w:rPr>
                  </w:pPr>
                </w:p>
              </w:tc>
              <w:tc>
                <w:tcPr>
                  <w:tcW w:w="1784" w:type="dxa"/>
                  <w:vAlign w:val="center"/>
                </w:tcPr>
                <w:p>
                  <w:pPr>
                    <w:jc w:val="center"/>
                    <w:rPr>
                      <w:szCs w:val="21"/>
                    </w:rPr>
                  </w:pPr>
                  <w:r>
                    <w:rPr>
                      <w:szCs w:val="21"/>
                    </w:rPr>
                    <w:t>1小时平均</w:t>
                  </w:r>
                </w:p>
              </w:tc>
              <w:tc>
                <w:tcPr>
                  <w:tcW w:w="1098" w:type="dxa"/>
                  <w:vAlign w:val="center"/>
                </w:tcPr>
                <w:p>
                  <w:pPr>
                    <w:pStyle w:val="23"/>
                    <w:spacing w:beforeLines="0" w:line="240" w:lineRule="auto"/>
                    <w:ind w:firstLine="0" w:firstLineChars="0"/>
                    <w:jc w:val="center"/>
                    <w:rPr>
                      <w:sz w:val="21"/>
                      <w:szCs w:val="21"/>
                    </w:rPr>
                  </w:pPr>
                  <w:r>
                    <w:rPr>
                      <w:sz w:val="21"/>
                      <w:szCs w:val="21"/>
                    </w:rPr>
                    <w:t>500</w:t>
                  </w:r>
                </w:p>
              </w:tc>
              <w:tc>
                <w:tcPr>
                  <w:tcW w:w="826" w:type="dxa"/>
                  <w:vMerge w:val="continue"/>
                  <w:vAlign w:val="center"/>
                </w:tcPr>
                <w:p>
                  <w:pPr>
                    <w:pStyle w:val="23"/>
                    <w:spacing w:beforeLines="0" w:line="240" w:lineRule="auto"/>
                    <w:ind w:firstLine="0" w:firstLineChars="0"/>
                    <w:jc w:val="center"/>
                    <w:rPr>
                      <w:sz w:val="21"/>
                      <w:szCs w:val="21"/>
                    </w:rPr>
                  </w:pPr>
                </w:p>
              </w:tc>
              <w:tc>
                <w:tcPr>
                  <w:tcW w:w="2973" w:type="dxa"/>
                  <w:vMerge w:val="continue"/>
                  <w:vAlign w:val="center"/>
                </w:tcPr>
                <w:p>
                  <w:pPr>
                    <w:pStyle w:val="23"/>
                    <w:spacing w:beforeLines="0"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vMerge w:val="restart"/>
                  <w:vAlign w:val="center"/>
                </w:tcPr>
                <w:p>
                  <w:pPr>
                    <w:pStyle w:val="23"/>
                    <w:spacing w:beforeLines="0" w:line="240" w:lineRule="auto"/>
                    <w:ind w:firstLine="0" w:firstLineChars="0"/>
                    <w:jc w:val="center"/>
                    <w:rPr>
                      <w:sz w:val="21"/>
                      <w:szCs w:val="21"/>
                    </w:rPr>
                  </w:pPr>
                  <w:r>
                    <w:rPr>
                      <w:sz w:val="21"/>
                      <w:szCs w:val="21"/>
                    </w:rPr>
                    <w:t>NO</w:t>
                  </w:r>
                  <w:r>
                    <w:rPr>
                      <w:sz w:val="21"/>
                      <w:szCs w:val="21"/>
                      <w:vertAlign w:val="subscript"/>
                    </w:rPr>
                    <w:t>2</w:t>
                  </w:r>
                </w:p>
              </w:tc>
              <w:tc>
                <w:tcPr>
                  <w:tcW w:w="1784" w:type="dxa"/>
                  <w:vAlign w:val="center"/>
                </w:tcPr>
                <w:p>
                  <w:pPr>
                    <w:jc w:val="center"/>
                    <w:rPr>
                      <w:szCs w:val="21"/>
                    </w:rPr>
                  </w:pPr>
                  <w:r>
                    <w:rPr>
                      <w:szCs w:val="21"/>
                    </w:rPr>
                    <w:t>年平均</w:t>
                  </w:r>
                </w:p>
              </w:tc>
              <w:tc>
                <w:tcPr>
                  <w:tcW w:w="1098" w:type="dxa"/>
                  <w:vAlign w:val="center"/>
                </w:tcPr>
                <w:p>
                  <w:pPr>
                    <w:pStyle w:val="23"/>
                    <w:spacing w:beforeLines="0" w:line="240" w:lineRule="auto"/>
                    <w:ind w:firstLine="0" w:firstLineChars="0"/>
                    <w:jc w:val="center"/>
                    <w:rPr>
                      <w:sz w:val="21"/>
                      <w:szCs w:val="21"/>
                    </w:rPr>
                  </w:pPr>
                  <w:r>
                    <w:rPr>
                      <w:sz w:val="21"/>
                      <w:szCs w:val="21"/>
                    </w:rPr>
                    <w:t>40</w:t>
                  </w:r>
                </w:p>
              </w:tc>
              <w:tc>
                <w:tcPr>
                  <w:tcW w:w="826" w:type="dxa"/>
                  <w:vMerge w:val="continue"/>
                  <w:vAlign w:val="center"/>
                </w:tcPr>
                <w:p>
                  <w:pPr>
                    <w:pStyle w:val="23"/>
                    <w:spacing w:beforeLines="0" w:line="240" w:lineRule="auto"/>
                    <w:ind w:firstLine="0" w:firstLineChars="0"/>
                    <w:jc w:val="center"/>
                    <w:rPr>
                      <w:sz w:val="21"/>
                      <w:szCs w:val="21"/>
                    </w:rPr>
                  </w:pPr>
                </w:p>
              </w:tc>
              <w:tc>
                <w:tcPr>
                  <w:tcW w:w="2973" w:type="dxa"/>
                  <w:vMerge w:val="continue"/>
                  <w:vAlign w:val="center"/>
                </w:tcPr>
                <w:p>
                  <w:pPr>
                    <w:pStyle w:val="23"/>
                    <w:spacing w:beforeLines="0"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vMerge w:val="continue"/>
                  <w:vAlign w:val="center"/>
                </w:tcPr>
                <w:p>
                  <w:pPr>
                    <w:pStyle w:val="23"/>
                    <w:spacing w:beforeLines="0" w:line="240" w:lineRule="auto"/>
                    <w:ind w:firstLine="0" w:firstLineChars="0"/>
                    <w:jc w:val="center"/>
                    <w:rPr>
                      <w:sz w:val="21"/>
                      <w:szCs w:val="21"/>
                    </w:rPr>
                  </w:pPr>
                </w:p>
              </w:tc>
              <w:tc>
                <w:tcPr>
                  <w:tcW w:w="1784" w:type="dxa"/>
                  <w:vAlign w:val="center"/>
                </w:tcPr>
                <w:p>
                  <w:pPr>
                    <w:pStyle w:val="23"/>
                    <w:spacing w:beforeLines="0" w:line="240" w:lineRule="auto"/>
                    <w:ind w:firstLine="0" w:firstLineChars="0"/>
                    <w:jc w:val="center"/>
                    <w:rPr>
                      <w:sz w:val="21"/>
                      <w:szCs w:val="21"/>
                    </w:rPr>
                  </w:pPr>
                  <w:r>
                    <w:rPr>
                      <w:sz w:val="21"/>
                      <w:szCs w:val="21"/>
                    </w:rPr>
                    <w:t>24小时平均</w:t>
                  </w:r>
                </w:p>
              </w:tc>
              <w:tc>
                <w:tcPr>
                  <w:tcW w:w="1098" w:type="dxa"/>
                  <w:vAlign w:val="center"/>
                </w:tcPr>
                <w:p>
                  <w:pPr>
                    <w:pStyle w:val="23"/>
                    <w:spacing w:beforeLines="0" w:line="240" w:lineRule="auto"/>
                    <w:ind w:firstLine="0" w:firstLineChars="0"/>
                    <w:jc w:val="center"/>
                    <w:rPr>
                      <w:sz w:val="21"/>
                      <w:szCs w:val="21"/>
                    </w:rPr>
                  </w:pPr>
                  <w:r>
                    <w:rPr>
                      <w:sz w:val="21"/>
                      <w:szCs w:val="21"/>
                    </w:rPr>
                    <w:t>80</w:t>
                  </w:r>
                </w:p>
              </w:tc>
              <w:tc>
                <w:tcPr>
                  <w:tcW w:w="826" w:type="dxa"/>
                  <w:vMerge w:val="continue"/>
                  <w:vAlign w:val="center"/>
                </w:tcPr>
                <w:p>
                  <w:pPr>
                    <w:pStyle w:val="23"/>
                    <w:spacing w:beforeLines="0" w:line="240" w:lineRule="auto"/>
                    <w:ind w:firstLine="0" w:firstLineChars="0"/>
                    <w:jc w:val="center"/>
                    <w:rPr>
                      <w:sz w:val="21"/>
                      <w:szCs w:val="21"/>
                    </w:rPr>
                  </w:pPr>
                </w:p>
              </w:tc>
              <w:tc>
                <w:tcPr>
                  <w:tcW w:w="2973" w:type="dxa"/>
                  <w:vMerge w:val="continue"/>
                  <w:vAlign w:val="center"/>
                </w:tcPr>
                <w:p>
                  <w:pPr>
                    <w:pStyle w:val="23"/>
                    <w:spacing w:beforeLines="0"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vMerge w:val="continue"/>
                  <w:vAlign w:val="center"/>
                </w:tcPr>
                <w:p>
                  <w:pPr>
                    <w:pStyle w:val="23"/>
                    <w:spacing w:beforeLines="0" w:line="240" w:lineRule="auto"/>
                    <w:ind w:firstLine="0" w:firstLineChars="0"/>
                    <w:jc w:val="center"/>
                    <w:rPr>
                      <w:sz w:val="21"/>
                      <w:szCs w:val="21"/>
                    </w:rPr>
                  </w:pPr>
                </w:p>
              </w:tc>
              <w:tc>
                <w:tcPr>
                  <w:tcW w:w="1784" w:type="dxa"/>
                  <w:vAlign w:val="center"/>
                </w:tcPr>
                <w:p>
                  <w:pPr>
                    <w:jc w:val="center"/>
                    <w:rPr>
                      <w:szCs w:val="21"/>
                    </w:rPr>
                  </w:pPr>
                  <w:r>
                    <w:rPr>
                      <w:szCs w:val="21"/>
                    </w:rPr>
                    <w:t>1小时平均</w:t>
                  </w:r>
                </w:p>
              </w:tc>
              <w:tc>
                <w:tcPr>
                  <w:tcW w:w="1098" w:type="dxa"/>
                  <w:vAlign w:val="center"/>
                </w:tcPr>
                <w:p>
                  <w:pPr>
                    <w:pStyle w:val="23"/>
                    <w:spacing w:beforeLines="0" w:line="240" w:lineRule="auto"/>
                    <w:ind w:firstLine="0" w:firstLineChars="0"/>
                    <w:jc w:val="center"/>
                    <w:rPr>
                      <w:sz w:val="21"/>
                      <w:szCs w:val="21"/>
                    </w:rPr>
                  </w:pPr>
                  <w:r>
                    <w:rPr>
                      <w:sz w:val="21"/>
                      <w:szCs w:val="21"/>
                    </w:rPr>
                    <w:t>200</w:t>
                  </w:r>
                </w:p>
              </w:tc>
              <w:tc>
                <w:tcPr>
                  <w:tcW w:w="826" w:type="dxa"/>
                  <w:vMerge w:val="continue"/>
                  <w:vAlign w:val="center"/>
                </w:tcPr>
                <w:p>
                  <w:pPr>
                    <w:pStyle w:val="23"/>
                    <w:spacing w:beforeLines="0" w:line="240" w:lineRule="auto"/>
                    <w:ind w:firstLine="0" w:firstLineChars="0"/>
                    <w:jc w:val="center"/>
                    <w:rPr>
                      <w:sz w:val="21"/>
                      <w:szCs w:val="21"/>
                    </w:rPr>
                  </w:pPr>
                </w:p>
              </w:tc>
              <w:tc>
                <w:tcPr>
                  <w:tcW w:w="2973" w:type="dxa"/>
                  <w:vMerge w:val="continue"/>
                  <w:vAlign w:val="center"/>
                </w:tcPr>
                <w:p>
                  <w:pPr>
                    <w:pStyle w:val="23"/>
                    <w:spacing w:beforeLines="0"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vMerge w:val="restart"/>
                  <w:vAlign w:val="center"/>
                </w:tcPr>
                <w:p>
                  <w:pPr>
                    <w:pStyle w:val="23"/>
                    <w:spacing w:beforeLines="0" w:line="240" w:lineRule="auto"/>
                    <w:ind w:firstLine="0" w:firstLineChars="0"/>
                    <w:jc w:val="center"/>
                    <w:rPr>
                      <w:sz w:val="21"/>
                      <w:szCs w:val="21"/>
                    </w:rPr>
                  </w:pPr>
                  <w:r>
                    <w:rPr>
                      <w:sz w:val="21"/>
                      <w:szCs w:val="21"/>
                    </w:rPr>
                    <w:t>CO</w:t>
                  </w:r>
                </w:p>
              </w:tc>
              <w:tc>
                <w:tcPr>
                  <w:tcW w:w="1784" w:type="dxa"/>
                  <w:vAlign w:val="center"/>
                </w:tcPr>
                <w:p>
                  <w:pPr>
                    <w:pStyle w:val="23"/>
                    <w:spacing w:beforeLines="0" w:line="240" w:lineRule="auto"/>
                    <w:ind w:firstLine="0" w:firstLineChars="0"/>
                    <w:jc w:val="center"/>
                    <w:rPr>
                      <w:sz w:val="21"/>
                      <w:szCs w:val="21"/>
                    </w:rPr>
                  </w:pPr>
                  <w:r>
                    <w:rPr>
                      <w:sz w:val="21"/>
                      <w:szCs w:val="21"/>
                    </w:rPr>
                    <w:t>24小时平均</w:t>
                  </w:r>
                </w:p>
              </w:tc>
              <w:tc>
                <w:tcPr>
                  <w:tcW w:w="1098" w:type="dxa"/>
                  <w:vAlign w:val="center"/>
                </w:tcPr>
                <w:p>
                  <w:pPr>
                    <w:pStyle w:val="23"/>
                    <w:spacing w:beforeLines="0" w:line="240" w:lineRule="auto"/>
                    <w:ind w:firstLine="0" w:firstLineChars="0"/>
                    <w:jc w:val="center"/>
                    <w:rPr>
                      <w:sz w:val="21"/>
                      <w:szCs w:val="21"/>
                    </w:rPr>
                  </w:pPr>
                  <w:r>
                    <w:rPr>
                      <w:sz w:val="21"/>
                      <w:szCs w:val="21"/>
                    </w:rPr>
                    <w:t>4</w:t>
                  </w:r>
                </w:p>
              </w:tc>
              <w:tc>
                <w:tcPr>
                  <w:tcW w:w="826" w:type="dxa"/>
                  <w:vMerge w:val="restart"/>
                  <w:vAlign w:val="center"/>
                </w:tcPr>
                <w:p>
                  <w:pPr>
                    <w:pStyle w:val="23"/>
                    <w:spacing w:beforeLines="0" w:line="240" w:lineRule="auto"/>
                    <w:ind w:firstLine="0" w:firstLineChars="0"/>
                    <w:jc w:val="center"/>
                    <w:rPr>
                      <w:sz w:val="21"/>
                      <w:szCs w:val="21"/>
                    </w:rPr>
                  </w:pPr>
                  <w:r>
                    <w:rPr>
                      <w:bCs/>
                      <w:sz w:val="21"/>
                      <w:szCs w:val="21"/>
                    </w:rPr>
                    <w:t>mg/m</w:t>
                  </w:r>
                  <w:r>
                    <w:rPr>
                      <w:bCs/>
                      <w:sz w:val="21"/>
                      <w:szCs w:val="21"/>
                      <w:vertAlign w:val="superscript"/>
                    </w:rPr>
                    <w:t>3</w:t>
                  </w:r>
                </w:p>
              </w:tc>
              <w:tc>
                <w:tcPr>
                  <w:tcW w:w="2973" w:type="dxa"/>
                  <w:vMerge w:val="continue"/>
                  <w:vAlign w:val="center"/>
                </w:tcPr>
                <w:p>
                  <w:pPr>
                    <w:pStyle w:val="23"/>
                    <w:spacing w:beforeLines="0"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vMerge w:val="continue"/>
                  <w:vAlign w:val="center"/>
                </w:tcPr>
                <w:p>
                  <w:pPr>
                    <w:pStyle w:val="23"/>
                    <w:spacing w:beforeLines="0" w:line="240" w:lineRule="auto"/>
                    <w:ind w:firstLine="0" w:firstLineChars="0"/>
                    <w:jc w:val="center"/>
                    <w:rPr>
                      <w:sz w:val="21"/>
                      <w:szCs w:val="21"/>
                    </w:rPr>
                  </w:pPr>
                </w:p>
              </w:tc>
              <w:tc>
                <w:tcPr>
                  <w:tcW w:w="1784" w:type="dxa"/>
                  <w:vAlign w:val="center"/>
                </w:tcPr>
                <w:p>
                  <w:pPr>
                    <w:jc w:val="center"/>
                    <w:rPr>
                      <w:szCs w:val="21"/>
                    </w:rPr>
                  </w:pPr>
                  <w:r>
                    <w:rPr>
                      <w:szCs w:val="21"/>
                    </w:rPr>
                    <w:t>1小时平均</w:t>
                  </w:r>
                </w:p>
              </w:tc>
              <w:tc>
                <w:tcPr>
                  <w:tcW w:w="1098" w:type="dxa"/>
                  <w:vAlign w:val="center"/>
                </w:tcPr>
                <w:p>
                  <w:pPr>
                    <w:pStyle w:val="23"/>
                    <w:spacing w:beforeLines="0" w:line="240" w:lineRule="auto"/>
                    <w:ind w:firstLine="0" w:firstLineChars="0"/>
                    <w:jc w:val="center"/>
                    <w:rPr>
                      <w:sz w:val="21"/>
                      <w:szCs w:val="21"/>
                    </w:rPr>
                  </w:pPr>
                  <w:r>
                    <w:rPr>
                      <w:sz w:val="21"/>
                      <w:szCs w:val="21"/>
                    </w:rPr>
                    <w:t>10</w:t>
                  </w:r>
                </w:p>
              </w:tc>
              <w:tc>
                <w:tcPr>
                  <w:tcW w:w="826" w:type="dxa"/>
                  <w:vMerge w:val="continue"/>
                  <w:vAlign w:val="center"/>
                </w:tcPr>
                <w:p>
                  <w:pPr>
                    <w:pStyle w:val="23"/>
                    <w:spacing w:beforeLines="0" w:line="240" w:lineRule="auto"/>
                    <w:ind w:firstLine="0" w:firstLineChars="0"/>
                    <w:jc w:val="center"/>
                    <w:rPr>
                      <w:sz w:val="21"/>
                      <w:szCs w:val="21"/>
                    </w:rPr>
                  </w:pPr>
                </w:p>
              </w:tc>
              <w:tc>
                <w:tcPr>
                  <w:tcW w:w="2973" w:type="dxa"/>
                  <w:vMerge w:val="continue"/>
                  <w:vAlign w:val="center"/>
                </w:tcPr>
                <w:p>
                  <w:pPr>
                    <w:pStyle w:val="23"/>
                    <w:spacing w:beforeLines="0"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vMerge w:val="restart"/>
                  <w:vAlign w:val="center"/>
                </w:tcPr>
                <w:p>
                  <w:pPr>
                    <w:pStyle w:val="23"/>
                    <w:spacing w:beforeLines="0" w:line="240" w:lineRule="auto"/>
                    <w:ind w:firstLine="0" w:firstLineChars="0"/>
                    <w:jc w:val="center"/>
                    <w:rPr>
                      <w:sz w:val="21"/>
                      <w:szCs w:val="21"/>
                    </w:rPr>
                  </w:pPr>
                  <w:r>
                    <w:rPr>
                      <w:sz w:val="21"/>
                      <w:szCs w:val="21"/>
                    </w:rPr>
                    <w:t>O</w:t>
                  </w:r>
                  <w:r>
                    <w:rPr>
                      <w:sz w:val="21"/>
                      <w:szCs w:val="21"/>
                      <w:vertAlign w:val="subscript"/>
                    </w:rPr>
                    <w:t>3</w:t>
                  </w:r>
                </w:p>
              </w:tc>
              <w:tc>
                <w:tcPr>
                  <w:tcW w:w="1784" w:type="dxa"/>
                  <w:tcMar>
                    <w:top w:w="0" w:type="dxa"/>
                    <w:left w:w="0" w:type="dxa"/>
                    <w:bottom w:w="0" w:type="dxa"/>
                    <w:right w:w="0" w:type="dxa"/>
                  </w:tcMar>
                  <w:vAlign w:val="center"/>
                </w:tcPr>
                <w:p>
                  <w:pPr>
                    <w:jc w:val="center"/>
                    <w:rPr>
                      <w:szCs w:val="21"/>
                    </w:rPr>
                  </w:pPr>
                  <w:r>
                    <w:rPr>
                      <w:szCs w:val="21"/>
                    </w:rPr>
                    <w:t>日最大8小时平均</w:t>
                  </w:r>
                </w:p>
              </w:tc>
              <w:tc>
                <w:tcPr>
                  <w:tcW w:w="1098" w:type="dxa"/>
                  <w:vAlign w:val="center"/>
                </w:tcPr>
                <w:p>
                  <w:pPr>
                    <w:pStyle w:val="23"/>
                    <w:spacing w:beforeLines="0" w:line="240" w:lineRule="auto"/>
                    <w:ind w:firstLine="0" w:firstLineChars="0"/>
                    <w:jc w:val="center"/>
                    <w:rPr>
                      <w:sz w:val="21"/>
                      <w:szCs w:val="21"/>
                    </w:rPr>
                  </w:pPr>
                  <w:r>
                    <w:rPr>
                      <w:sz w:val="21"/>
                      <w:szCs w:val="21"/>
                    </w:rPr>
                    <w:t>160</w:t>
                  </w:r>
                </w:p>
              </w:tc>
              <w:tc>
                <w:tcPr>
                  <w:tcW w:w="826" w:type="dxa"/>
                  <w:vMerge w:val="restart"/>
                  <w:vAlign w:val="center"/>
                </w:tcPr>
                <w:p>
                  <w:pPr>
                    <w:pStyle w:val="23"/>
                    <w:spacing w:beforeLines="0" w:line="240" w:lineRule="auto"/>
                    <w:ind w:firstLine="0" w:firstLineChars="0"/>
                    <w:jc w:val="center"/>
                    <w:rPr>
                      <w:sz w:val="21"/>
                      <w:szCs w:val="21"/>
                    </w:rPr>
                  </w:pPr>
                  <w:r>
                    <w:rPr>
                      <w:bCs/>
                      <w:sz w:val="21"/>
                      <w:szCs w:val="21"/>
                    </w:rPr>
                    <w:t>μg/m</w:t>
                  </w:r>
                  <w:r>
                    <w:rPr>
                      <w:bCs/>
                      <w:sz w:val="21"/>
                      <w:szCs w:val="21"/>
                      <w:vertAlign w:val="superscript"/>
                    </w:rPr>
                    <w:t>3</w:t>
                  </w:r>
                </w:p>
              </w:tc>
              <w:tc>
                <w:tcPr>
                  <w:tcW w:w="2973" w:type="dxa"/>
                  <w:vMerge w:val="continue"/>
                  <w:vAlign w:val="center"/>
                </w:tcPr>
                <w:p>
                  <w:pPr>
                    <w:pStyle w:val="23"/>
                    <w:spacing w:beforeLines="0"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293" w:type="dxa"/>
                  <w:vMerge w:val="continue"/>
                  <w:vAlign w:val="center"/>
                </w:tcPr>
                <w:p>
                  <w:pPr>
                    <w:pStyle w:val="23"/>
                    <w:spacing w:beforeLines="0" w:line="240" w:lineRule="auto"/>
                    <w:ind w:firstLine="0" w:firstLineChars="0"/>
                    <w:jc w:val="center"/>
                    <w:rPr>
                      <w:sz w:val="21"/>
                      <w:szCs w:val="21"/>
                    </w:rPr>
                  </w:pPr>
                </w:p>
              </w:tc>
              <w:tc>
                <w:tcPr>
                  <w:tcW w:w="1784" w:type="dxa"/>
                  <w:vAlign w:val="center"/>
                </w:tcPr>
                <w:p>
                  <w:pPr>
                    <w:jc w:val="center"/>
                    <w:rPr>
                      <w:szCs w:val="21"/>
                    </w:rPr>
                  </w:pPr>
                  <w:r>
                    <w:rPr>
                      <w:szCs w:val="21"/>
                    </w:rPr>
                    <w:t>1小时平均</w:t>
                  </w:r>
                </w:p>
              </w:tc>
              <w:tc>
                <w:tcPr>
                  <w:tcW w:w="1098" w:type="dxa"/>
                  <w:vAlign w:val="center"/>
                </w:tcPr>
                <w:p>
                  <w:pPr>
                    <w:pStyle w:val="23"/>
                    <w:spacing w:beforeLines="0" w:line="240" w:lineRule="auto"/>
                    <w:ind w:firstLine="0" w:firstLineChars="0"/>
                    <w:jc w:val="center"/>
                    <w:rPr>
                      <w:sz w:val="21"/>
                      <w:szCs w:val="21"/>
                    </w:rPr>
                  </w:pPr>
                  <w:r>
                    <w:rPr>
                      <w:sz w:val="21"/>
                      <w:szCs w:val="21"/>
                    </w:rPr>
                    <w:t>200</w:t>
                  </w:r>
                </w:p>
              </w:tc>
              <w:tc>
                <w:tcPr>
                  <w:tcW w:w="826" w:type="dxa"/>
                  <w:vMerge w:val="continue"/>
                  <w:vAlign w:val="center"/>
                </w:tcPr>
                <w:p>
                  <w:pPr>
                    <w:pStyle w:val="23"/>
                    <w:spacing w:beforeLines="0" w:line="240" w:lineRule="auto"/>
                    <w:ind w:firstLine="0" w:firstLineChars="0"/>
                    <w:jc w:val="center"/>
                    <w:rPr>
                      <w:sz w:val="21"/>
                      <w:szCs w:val="21"/>
                    </w:rPr>
                  </w:pPr>
                </w:p>
              </w:tc>
              <w:tc>
                <w:tcPr>
                  <w:tcW w:w="2973" w:type="dxa"/>
                  <w:vMerge w:val="continue"/>
                  <w:vAlign w:val="center"/>
                </w:tcPr>
                <w:p>
                  <w:pPr>
                    <w:pStyle w:val="23"/>
                    <w:spacing w:beforeLines="0"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vMerge w:val="restart"/>
                  <w:vAlign w:val="center"/>
                </w:tcPr>
                <w:p>
                  <w:pPr>
                    <w:pStyle w:val="23"/>
                    <w:spacing w:beforeLines="0" w:line="240" w:lineRule="auto"/>
                    <w:ind w:firstLine="0" w:firstLineChars="0"/>
                    <w:jc w:val="center"/>
                    <w:rPr>
                      <w:sz w:val="21"/>
                      <w:szCs w:val="21"/>
                    </w:rPr>
                  </w:pPr>
                  <w:r>
                    <w:rPr>
                      <w:sz w:val="21"/>
                      <w:szCs w:val="21"/>
                    </w:rPr>
                    <w:t>PM</w:t>
                  </w:r>
                  <w:r>
                    <w:rPr>
                      <w:sz w:val="21"/>
                      <w:szCs w:val="21"/>
                      <w:vertAlign w:val="subscript"/>
                    </w:rPr>
                    <w:t>10</w:t>
                  </w:r>
                </w:p>
              </w:tc>
              <w:tc>
                <w:tcPr>
                  <w:tcW w:w="1784" w:type="dxa"/>
                  <w:vAlign w:val="center"/>
                </w:tcPr>
                <w:p>
                  <w:pPr>
                    <w:jc w:val="center"/>
                    <w:rPr>
                      <w:szCs w:val="21"/>
                    </w:rPr>
                  </w:pPr>
                  <w:r>
                    <w:rPr>
                      <w:szCs w:val="21"/>
                    </w:rPr>
                    <w:t>年平均</w:t>
                  </w:r>
                </w:p>
              </w:tc>
              <w:tc>
                <w:tcPr>
                  <w:tcW w:w="1098" w:type="dxa"/>
                  <w:vAlign w:val="center"/>
                </w:tcPr>
                <w:p>
                  <w:pPr>
                    <w:pStyle w:val="23"/>
                    <w:spacing w:beforeLines="0" w:line="240" w:lineRule="auto"/>
                    <w:ind w:firstLine="0" w:firstLineChars="0"/>
                    <w:jc w:val="center"/>
                    <w:rPr>
                      <w:sz w:val="21"/>
                      <w:szCs w:val="21"/>
                    </w:rPr>
                  </w:pPr>
                  <w:r>
                    <w:rPr>
                      <w:sz w:val="21"/>
                      <w:szCs w:val="21"/>
                    </w:rPr>
                    <w:t>70</w:t>
                  </w:r>
                </w:p>
              </w:tc>
              <w:tc>
                <w:tcPr>
                  <w:tcW w:w="826" w:type="dxa"/>
                  <w:vMerge w:val="continue"/>
                  <w:vAlign w:val="center"/>
                </w:tcPr>
                <w:p>
                  <w:pPr>
                    <w:pStyle w:val="23"/>
                    <w:spacing w:beforeLines="0" w:line="240" w:lineRule="auto"/>
                    <w:ind w:firstLine="0" w:firstLineChars="0"/>
                    <w:jc w:val="center"/>
                    <w:rPr>
                      <w:sz w:val="21"/>
                      <w:szCs w:val="21"/>
                    </w:rPr>
                  </w:pPr>
                </w:p>
              </w:tc>
              <w:tc>
                <w:tcPr>
                  <w:tcW w:w="2973" w:type="dxa"/>
                  <w:vMerge w:val="continue"/>
                  <w:vAlign w:val="center"/>
                </w:tcPr>
                <w:p>
                  <w:pPr>
                    <w:pStyle w:val="23"/>
                    <w:spacing w:beforeLines="0"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vMerge w:val="continue"/>
                  <w:vAlign w:val="center"/>
                </w:tcPr>
                <w:p>
                  <w:pPr>
                    <w:pStyle w:val="23"/>
                    <w:spacing w:beforeLines="0" w:line="240" w:lineRule="auto"/>
                    <w:ind w:firstLine="0" w:firstLineChars="0"/>
                    <w:jc w:val="center"/>
                    <w:rPr>
                      <w:sz w:val="21"/>
                      <w:szCs w:val="21"/>
                    </w:rPr>
                  </w:pPr>
                </w:p>
              </w:tc>
              <w:tc>
                <w:tcPr>
                  <w:tcW w:w="1784" w:type="dxa"/>
                  <w:vAlign w:val="center"/>
                </w:tcPr>
                <w:p>
                  <w:pPr>
                    <w:pStyle w:val="23"/>
                    <w:spacing w:beforeLines="0" w:line="240" w:lineRule="auto"/>
                    <w:ind w:firstLine="0" w:firstLineChars="0"/>
                    <w:jc w:val="center"/>
                    <w:rPr>
                      <w:sz w:val="21"/>
                      <w:szCs w:val="21"/>
                    </w:rPr>
                  </w:pPr>
                  <w:r>
                    <w:rPr>
                      <w:sz w:val="21"/>
                      <w:szCs w:val="21"/>
                    </w:rPr>
                    <w:t>24小时平均</w:t>
                  </w:r>
                </w:p>
              </w:tc>
              <w:tc>
                <w:tcPr>
                  <w:tcW w:w="1098" w:type="dxa"/>
                  <w:vAlign w:val="center"/>
                </w:tcPr>
                <w:p>
                  <w:pPr>
                    <w:pStyle w:val="23"/>
                    <w:spacing w:beforeLines="0" w:line="240" w:lineRule="auto"/>
                    <w:ind w:firstLine="0" w:firstLineChars="0"/>
                    <w:jc w:val="center"/>
                    <w:rPr>
                      <w:sz w:val="21"/>
                      <w:szCs w:val="21"/>
                    </w:rPr>
                  </w:pPr>
                  <w:r>
                    <w:rPr>
                      <w:sz w:val="21"/>
                      <w:szCs w:val="21"/>
                    </w:rPr>
                    <w:t>150</w:t>
                  </w:r>
                </w:p>
              </w:tc>
              <w:tc>
                <w:tcPr>
                  <w:tcW w:w="826" w:type="dxa"/>
                  <w:vMerge w:val="continue"/>
                  <w:vAlign w:val="center"/>
                </w:tcPr>
                <w:p>
                  <w:pPr>
                    <w:pStyle w:val="23"/>
                    <w:spacing w:beforeLines="0" w:line="240" w:lineRule="auto"/>
                    <w:ind w:firstLine="0" w:firstLineChars="0"/>
                    <w:jc w:val="center"/>
                    <w:rPr>
                      <w:sz w:val="21"/>
                      <w:szCs w:val="21"/>
                    </w:rPr>
                  </w:pPr>
                </w:p>
              </w:tc>
              <w:tc>
                <w:tcPr>
                  <w:tcW w:w="2973" w:type="dxa"/>
                  <w:vMerge w:val="continue"/>
                  <w:vAlign w:val="center"/>
                </w:tcPr>
                <w:p>
                  <w:pPr>
                    <w:pStyle w:val="23"/>
                    <w:spacing w:beforeLines="0"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vMerge w:val="restart"/>
                  <w:vAlign w:val="center"/>
                </w:tcPr>
                <w:p>
                  <w:pPr>
                    <w:pStyle w:val="23"/>
                    <w:spacing w:beforeLines="0" w:line="240" w:lineRule="auto"/>
                    <w:ind w:firstLine="0" w:firstLineChars="0"/>
                    <w:jc w:val="center"/>
                    <w:rPr>
                      <w:sz w:val="21"/>
                      <w:szCs w:val="21"/>
                    </w:rPr>
                  </w:pPr>
                  <w:r>
                    <w:rPr>
                      <w:sz w:val="21"/>
                      <w:szCs w:val="21"/>
                    </w:rPr>
                    <w:t>PM</w:t>
                  </w:r>
                  <w:r>
                    <w:rPr>
                      <w:sz w:val="21"/>
                      <w:szCs w:val="21"/>
                      <w:vertAlign w:val="subscript"/>
                    </w:rPr>
                    <w:t>2.5</w:t>
                  </w:r>
                </w:p>
              </w:tc>
              <w:tc>
                <w:tcPr>
                  <w:tcW w:w="1784" w:type="dxa"/>
                  <w:vAlign w:val="center"/>
                </w:tcPr>
                <w:p>
                  <w:pPr>
                    <w:jc w:val="center"/>
                    <w:rPr>
                      <w:szCs w:val="21"/>
                    </w:rPr>
                  </w:pPr>
                  <w:r>
                    <w:rPr>
                      <w:szCs w:val="21"/>
                    </w:rPr>
                    <w:t>年平均</w:t>
                  </w:r>
                </w:p>
              </w:tc>
              <w:tc>
                <w:tcPr>
                  <w:tcW w:w="1098" w:type="dxa"/>
                  <w:vAlign w:val="center"/>
                </w:tcPr>
                <w:p>
                  <w:pPr>
                    <w:pStyle w:val="23"/>
                    <w:spacing w:beforeLines="0" w:line="240" w:lineRule="auto"/>
                    <w:ind w:firstLine="0" w:firstLineChars="0"/>
                    <w:jc w:val="center"/>
                    <w:rPr>
                      <w:sz w:val="21"/>
                      <w:szCs w:val="21"/>
                    </w:rPr>
                  </w:pPr>
                  <w:r>
                    <w:rPr>
                      <w:sz w:val="21"/>
                      <w:szCs w:val="21"/>
                    </w:rPr>
                    <w:t>35</w:t>
                  </w:r>
                </w:p>
              </w:tc>
              <w:tc>
                <w:tcPr>
                  <w:tcW w:w="826" w:type="dxa"/>
                  <w:vMerge w:val="continue"/>
                  <w:vAlign w:val="center"/>
                </w:tcPr>
                <w:p>
                  <w:pPr>
                    <w:pStyle w:val="23"/>
                    <w:spacing w:beforeLines="0" w:line="240" w:lineRule="auto"/>
                    <w:ind w:firstLine="0" w:firstLineChars="0"/>
                    <w:jc w:val="center"/>
                    <w:rPr>
                      <w:sz w:val="21"/>
                      <w:szCs w:val="21"/>
                    </w:rPr>
                  </w:pPr>
                </w:p>
              </w:tc>
              <w:tc>
                <w:tcPr>
                  <w:tcW w:w="2973" w:type="dxa"/>
                  <w:vMerge w:val="continue"/>
                  <w:vAlign w:val="center"/>
                </w:tcPr>
                <w:p>
                  <w:pPr>
                    <w:pStyle w:val="23"/>
                    <w:spacing w:beforeLines="0" w:line="240" w:lineRule="auto"/>
                    <w:ind w:firstLine="0" w:firstLineChars="0"/>
                    <w:jc w:val="center"/>
                    <w:rPr>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93" w:type="dxa"/>
                  <w:vMerge w:val="continue"/>
                  <w:vAlign w:val="center"/>
                </w:tcPr>
                <w:p>
                  <w:pPr>
                    <w:pStyle w:val="23"/>
                    <w:spacing w:beforeLines="0" w:line="240" w:lineRule="auto"/>
                    <w:ind w:firstLine="0" w:firstLineChars="0"/>
                    <w:jc w:val="center"/>
                    <w:rPr>
                      <w:sz w:val="21"/>
                      <w:szCs w:val="21"/>
                    </w:rPr>
                  </w:pPr>
                </w:p>
              </w:tc>
              <w:tc>
                <w:tcPr>
                  <w:tcW w:w="1784" w:type="dxa"/>
                  <w:vAlign w:val="center"/>
                </w:tcPr>
                <w:p>
                  <w:pPr>
                    <w:pStyle w:val="23"/>
                    <w:spacing w:beforeLines="0" w:line="240" w:lineRule="auto"/>
                    <w:ind w:firstLine="0" w:firstLineChars="0"/>
                    <w:jc w:val="center"/>
                    <w:rPr>
                      <w:sz w:val="21"/>
                      <w:szCs w:val="21"/>
                    </w:rPr>
                  </w:pPr>
                  <w:r>
                    <w:rPr>
                      <w:sz w:val="21"/>
                      <w:szCs w:val="21"/>
                    </w:rPr>
                    <w:t>24小时平均</w:t>
                  </w:r>
                </w:p>
              </w:tc>
              <w:tc>
                <w:tcPr>
                  <w:tcW w:w="1098" w:type="dxa"/>
                  <w:vAlign w:val="center"/>
                </w:tcPr>
                <w:p>
                  <w:pPr>
                    <w:pStyle w:val="23"/>
                    <w:spacing w:beforeLines="0" w:line="240" w:lineRule="auto"/>
                    <w:ind w:firstLine="0" w:firstLineChars="0"/>
                    <w:jc w:val="center"/>
                    <w:rPr>
                      <w:sz w:val="21"/>
                      <w:szCs w:val="21"/>
                    </w:rPr>
                  </w:pPr>
                  <w:r>
                    <w:rPr>
                      <w:sz w:val="21"/>
                      <w:szCs w:val="21"/>
                    </w:rPr>
                    <w:t>75</w:t>
                  </w:r>
                </w:p>
              </w:tc>
              <w:tc>
                <w:tcPr>
                  <w:tcW w:w="826" w:type="dxa"/>
                  <w:vMerge w:val="continue"/>
                  <w:vAlign w:val="center"/>
                </w:tcPr>
                <w:p>
                  <w:pPr>
                    <w:pStyle w:val="23"/>
                    <w:spacing w:beforeLines="0" w:line="240" w:lineRule="auto"/>
                    <w:ind w:firstLine="0" w:firstLineChars="0"/>
                    <w:jc w:val="center"/>
                    <w:rPr>
                      <w:sz w:val="21"/>
                      <w:szCs w:val="21"/>
                    </w:rPr>
                  </w:pPr>
                </w:p>
              </w:tc>
              <w:tc>
                <w:tcPr>
                  <w:tcW w:w="2973" w:type="dxa"/>
                  <w:vMerge w:val="continue"/>
                  <w:vAlign w:val="center"/>
                </w:tcPr>
                <w:p>
                  <w:pPr>
                    <w:pStyle w:val="23"/>
                    <w:spacing w:beforeLines="0" w:line="240" w:lineRule="auto"/>
                    <w:ind w:firstLine="0" w:firstLineChars="0"/>
                    <w:jc w:val="center"/>
                    <w:rPr>
                      <w:sz w:val="21"/>
                      <w:szCs w:val="21"/>
                    </w:rPr>
                  </w:pPr>
                </w:p>
              </w:tc>
            </w:tr>
          </w:tbl>
          <w:p>
            <w:pPr>
              <w:spacing w:line="360" w:lineRule="auto"/>
              <w:ind w:firstLine="420" w:firstLineChars="200"/>
              <w:rPr>
                <w:szCs w:val="21"/>
              </w:rPr>
            </w:pPr>
            <w:r>
              <w:rPr>
                <w:szCs w:val="21"/>
              </w:rPr>
              <w:t>3、环境噪声质量标准</w:t>
            </w:r>
          </w:p>
          <w:p>
            <w:pPr>
              <w:spacing w:line="360" w:lineRule="auto"/>
              <w:ind w:firstLine="420" w:firstLineChars="200"/>
              <w:rPr>
                <w:szCs w:val="21"/>
              </w:rPr>
            </w:pPr>
            <w:r>
              <w:rPr>
                <w:szCs w:val="21"/>
              </w:rPr>
              <w:t>本项目位于</w:t>
            </w:r>
            <w:r>
              <w:rPr>
                <w:rFonts w:hint="eastAsia"/>
                <w:color w:val="000000" w:themeColor="text1"/>
                <w:kern w:val="44"/>
                <w:sz w:val="21"/>
                <w:szCs w:val="21"/>
                <w14:textFill>
                  <w14:solidFill>
                    <w14:schemeClr w14:val="tx1"/>
                  </w14:solidFill>
                </w14:textFill>
              </w:rPr>
              <w:t>江苏省常州市武进国家高新技术产业开发区龙逸路76号</w:t>
            </w:r>
            <w:r>
              <w:rPr>
                <w:szCs w:val="21"/>
              </w:rPr>
              <w:t>，根据《常州市区环境噪声功能区划》，本项目所在区域声环境评价标准采用《声环境质量标准》(GB3096-2008)中</w:t>
            </w:r>
            <w:r>
              <w:rPr>
                <w:rFonts w:hint="eastAsia"/>
                <w:szCs w:val="21"/>
              </w:rPr>
              <w:t>3</w:t>
            </w:r>
            <w:r>
              <w:rPr>
                <w:szCs w:val="21"/>
              </w:rPr>
              <w:t>类标准，具体标准值见表3-10。</w:t>
            </w:r>
          </w:p>
          <w:p>
            <w:pPr>
              <w:spacing w:line="360" w:lineRule="auto"/>
              <w:ind w:firstLine="525" w:firstLineChars="249"/>
              <w:jc w:val="center"/>
              <w:rPr>
                <w:b/>
                <w:szCs w:val="21"/>
              </w:rPr>
            </w:pPr>
            <w:r>
              <w:rPr>
                <w:b/>
                <w:szCs w:val="21"/>
              </w:rPr>
              <w:t>表3-10  声环境质量标准</w:t>
            </w:r>
          </w:p>
          <w:tbl>
            <w:tblPr>
              <w:tblStyle w:val="21"/>
              <w:tblW w:w="797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437"/>
              <w:gridCol w:w="1290"/>
              <w:gridCol w:w="1169"/>
              <w:gridCol w:w="10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72" w:type="dxa"/>
                  <w:vMerge w:val="restart"/>
                  <w:vAlign w:val="center"/>
                </w:tcPr>
                <w:p>
                  <w:pPr>
                    <w:jc w:val="center"/>
                    <w:rPr>
                      <w:b/>
                      <w:szCs w:val="21"/>
                    </w:rPr>
                  </w:pPr>
                  <w:r>
                    <w:rPr>
                      <w:b/>
                      <w:szCs w:val="21"/>
                    </w:rPr>
                    <w:t>区域名</w:t>
                  </w:r>
                </w:p>
              </w:tc>
              <w:tc>
                <w:tcPr>
                  <w:tcW w:w="2437" w:type="dxa"/>
                  <w:vMerge w:val="restart"/>
                  <w:vAlign w:val="center"/>
                </w:tcPr>
                <w:p>
                  <w:pPr>
                    <w:jc w:val="center"/>
                    <w:rPr>
                      <w:b/>
                      <w:szCs w:val="21"/>
                    </w:rPr>
                  </w:pPr>
                  <w:r>
                    <w:rPr>
                      <w:b/>
                      <w:szCs w:val="21"/>
                    </w:rPr>
                    <w:t>执行标准</w:t>
                  </w:r>
                </w:p>
              </w:tc>
              <w:tc>
                <w:tcPr>
                  <w:tcW w:w="1290" w:type="dxa"/>
                  <w:vMerge w:val="restart"/>
                  <w:vAlign w:val="center"/>
                </w:tcPr>
                <w:p>
                  <w:pPr>
                    <w:jc w:val="center"/>
                    <w:rPr>
                      <w:b/>
                      <w:spacing w:val="-10"/>
                      <w:szCs w:val="21"/>
                    </w:rPr>
                  </w:pPr>
                  <w:r>
                    <w:rPr>
                      <w:b/>
                      <w:spacing w:val="-10"/>
                      <w:szCs w:val="21"/>
                    </w:rPr>
                    <w:t>表号及级别</w:t>
                  </w:r>
                </w:p>
              </w:tc>
              <w:tc>
                <w:tcPr>
                  <w:tcW w:w="1169" w:type="dxa"/>
                  <w:vMerge w:val="restart"/>
                  <w:vAlign w:val="center"/>
                </w:tcPr>
                <w:p>
                  <w:pPr>
                    <w:jc w:val="center"/>
                    <w:rPr>
                      <w:b/>
                      <w:szCs w:val="21"/>
                    </w:rPr>
                  </w:pPr>
                  <w:r>
                    <w:rPr>
                      <w:b/>
                      <w:szCs w:val="21"/>
                    </w:rPr>
                    <w:t>单位</w:t>
                  </w:r>
                </w:p>
              </w:tc>
              <w:tc>
                <w:tcPr>
                  <w:tcW w:w="1005" w:type="dxa"/>
                  <w:vAlign w:val="center"/>
                </w:tcPr>
                <w:p>
                  <w:pPr>
                    <w:jc w:val="center"/>
                    <w:rPr>
                      <w:b/>
                      <w:spacing w:val="-10"/>
                      <w:szCs w:val="21"/>
                    </w:rPr>
                  </w:pPr>
                  <w:r>
                    <w:rPr>
                      <w:b/>
                      <w:spacing w:val="-10"/>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72" w:type="dxa"/>
                  <w:vMerge w:val="continue"/>
                  <w:vAlign w:val="center"/>
                </w:tcPr>
                <w:p>
                  <w:pPr>
                    <w:jc w:val="center"/>
                    <w:rPr>
                      <w:b/>
                      <w:szCs w:val="21"/>
                    </w:rPr>
                  </w:pPr>
                </w:p>
              </w:tc>
              <w:tc>
                <w:tcPr>
                  <w:tcW w:w="2437" w:type="dxa"/>
                  <w:vMerge w:val="continue"/>
                  <w:vAlign w:val="center"/>
                </w:tcPr>
                <w:p>
                  <w:pPr>
                    <w:jc w:val="center"/>
                    <w:rPr>
                      <w:b/>
                      <w:szCs w:val="21"/>
                    </w:rPr>
                  </w:pPr>
                </w:p>
              </w:tc>
              <w:tc>
                <w:tcPr>
                  <w:tcW w:w="1290" w:type="dxa"/>
                  <w:vMerge w:val="continue"/>
                  <w:vAlign w:val="center"/>
                </w:tcPr>
                <w:p>
                  <w:pPr>
                    <w:jc w:val="center"/>
                    <w:rPr>
                      <w:b/>
                      <w:szCs w:val="21"/>
                    </w:rPr>
                  </w:pPr>
                </w:p>
              </w:tc>
              <w:tc>
                <w:tcPr>
                  <w:tcW w:w="1169" w:type="dxa"/>
                  <w:vMerge w:val="continue"/>
                  <w:vAlign w:val="center"/>
                </w:tcPr>
                <w:p>
                  <w:pPr>
                    <w:jc w:val="center"/>
                    <w:rPr>
                      <w:b/>
                      <w:szCs w:val="21"/>
                    </w:rPr>
                  </w:pPr>
                </w:p>
              </w:tc>
              <w:tc>
                <w:tcPr>
                  <w:tcW w:w="1005" w:type="dxa"/>
                  <w:vAlign w:val="center"/>
                </w:tcPr>
                <w:p>
                  <w:pPr>
                    <w:jc w:val="center"/>
                    <w:rPr>
                      <w:b/>
                      <w:szCs w:val="21"/>
                    </w:rPr>
                  </w:pPr>
                  <w:r>
                    <w:rPr>
                      <w:b/>
                      <w:szCs w:val="21"/>
                    </w:rPr>
                    <w:t>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072" w:type="dxa"/>
                  <w:vAlign w:val="center"/>
                </w:tcPr>
                <w:p>
                  <w:pPr>
                    <w:jc w:val="center"/>
                    <w:rPr>
                      <w:szCs w:val="21"/>
                    </w:rPr>
                  </w:pPr>
                  <w:r>
                    <w:rPr>
                      <w:szCs w:val="21"/>
                    </w:rPr>
                    <w:t>项目厂界</w:t>
                  </w:r>
                </w:p>
              </w:tc>
              <w:tc>
                <w:tcPr>
                  <w:tcW w:w="2437" w:type="dxa"/>
                  <w:vAlign w:val="center"/>
                </w:tcPr>
                <w:p>
                  <w:pPr>
                    <w:jc w:val="center"/>
                    <w:rPr>
                      <w:szCs w:val="21"/>
                    </w:rPr>
                  </w:pPr>
                  <w:r>
                    <w:rPr>
                      <w:szCs w:val="21"/>
                    </w:rPr>
                    <w:t>《声环境质量标准》</w:t>
                  </w:r>
                </w:p>
                <w:p>
                  <w:pPr>
                    <w:jc w:val="center"/>
                    <w:rPr>
                      <w:szCs w:val="21"/>
                    </w:rPr>
                  </w:pPr>
                  <w:r>
                    <w:rPr>
                      <w:szCs w:val="21"/>
                    </w:rPr>
                    <w:t>（GB3096-2008）</w:t>
                  </w:r>
                </w:p>
              </w:tc>
              <w:tc>
                <w:tcPr>
                  <w:tcW w:w="1290" w:type="dxa"/>
                  <w:vAlign w:val="center"/>
                </w:tcPr>
                <w:p>
                  <w:pPr>
                    <w:jc w:val="center"/>
                    <w:rPr>
                      <w:szCs w:val="21"/>
                    </w:rPr>
                  </w:pPr>
                  <w:r>
                    <w:rPr>
                      <w:rFonts w:hint="eastAsia"/>
                      <w:szCs w:val="21"/>
                    </w:rPr>
                    <w:t>3</w:t>
                  </w:r>
                  <w:r>
                    <w:rPr>
                      <w:szCs w:val="21"/>
                    </w:rPr>
                    <w:t>类</w:t>
                  </w:r>
                </w:p>
              </w:tc>
              <w:tc>
                <w:tcPr>
                  <w:tcW w:w="1169" w:type="dxa"/>
                  <w:vAlign w:val="center"/>
                </w:tcPr>
                <w:p>
                  <w:pPr>
                    <w:jc w:val="center"/>
                    <w:rPr>
                      <w:szCs w:val="21"/>
                    </w:rPr>
                  </w:pPr>
                  <w:r>
                    <w:rPr>
                      <w:szCs w:val="21"/>
                    </w:rPr>
                    <w:t>dB（A）</w:t>
                  </w:r>
                </w:p>
              </w:tc>
              <w:tc>
                <w:tcPr>
                  <w:tcW w:w="1005" w:type="dxa"/>
                  <w:vAlign w:val="center"/>
                </w:tcPr>
                <w:p>
                  <w:pPr>
                    <w:jc w:val="center"/>
                    <w:rPr>
                      <w:szCs w:val="21"/>
                    </w:rPr>
                  </w:pPr>
                  <w:r>
                    <w:rPr>
                      <w:szCs w:val="21"/>
                    </w:rPr>
                    <w:t>6</w:t>
                  </w:r>
                  <w:r>
                    <w:rPr>
                      <w:rFonts w:hint="eastAsia"/>
                      <w:szCs w:val="21"/>
                    </w:rPr>
                    <w:t>5</w:t>
                  </w:r>
                </w:p>
              </w:tc>
            </w:tr>
          </w:tbl>
          <w:p>
            <w:pPr>
              <w:pStyle w:val="9"/>
              <w:numPr>
                <w:ilvl w:val="0"/>
                <w:numId w:val="0"/>
              </w:num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800" w:type="dxa"/>
            <w:vAlign w:val="center"/>
          </w:tcPr>
          <w:p>
            <w:pPr>
              <w:adjustRightInd w:val="0"/>
              <w:snapToGrid w:val="0"/>
              <w:jc w:val="center"/>
              <w:rPr>
                <w:kern w:val="0"/>
                <w:szCs w:val="21"/>
              </w:rPr>
            </w:pPr>
            <w:r>
              <w:rPr>
                <w:kern w:val="0"/>
                <w:szCs w:val="21"/>
              </w:rPr>
              <w:t>环境</w:t>
            </w:r>
          </w:p>
          <w:p>
            <w:pPr>
              <w:adjustRightInd w:val="0"/>
              <w:snapToGrid w:val="0"/>
              <w:jc w:val="center"/>
              <w:rPr>
                <w:kern w:val="0"/>
                <w:szCs w:val="21"/>
              </w:rPr>
            </w:pPr>
            <w:r>
              <w:rPr>
                <w:kern w:val="0"/>
                <w:szCs w:val="21"/>
              </w:rPr>
              <w:t>保护</w:t>
            </w:r>
          </w:p>
          <w:p>
            <w:pPr>
              <w:adjustRightInd w:val="0"/>
              <w:snapToGrid w:val="0"/>
              <w:jc w:val="center"/>
              <w:rPr>
                <w:kern w:val="0"/>
                <w:szCs w:val="21"/>
              </w:rPr>
            </w:pPr>
            <w:r>
              <w:rPr>
                <w:kern w:val="0"/>
                <w:szCs w:val="21"/>
              </w:rPr>
              <w:t>目标</w:t>
            </w:r>
          </w:p>
        </w:tc>
        <w:tc>
          <w:tcPr>
            <w:tcW w:w="8190" w:type="dxa"/>
            <w:vAlign w:val="center"/>
          </w:tcPr>
          <w:p>
            <w:pPr>
              <w:spacing w:line="360" w:lineRule="auto"/>
              <w:ind w:firstLine="420" w:firstLineChars="200"/>
              <w:jc w:val="left"/>
            </w:pPr>
            <w:r>
              <w:t>1、大气环境</w:t>
            </w:r>
            <w:r>
              <w:rPr>
                <w:rFonts w:hint="eastAsia"/>
              </w:rPr>
              <w:t>：</w:t>
            </w:r>
            <w:r>
              <w:t>本项目厂界外500米范围内大气环境敏感目标见表3-</w:t>
            </w:r>
            <w:r>
              <w:rPr>
                <w:rFonts w:hint="eastAsia"/>
              </w:rPr>
              <w:t>11</w:t>
            </w:r>
            <w:r>
              <w:t>。</w:t>
            </w:r>
          </w:p>
          <w:p>
            <w:pPr>
              <w:spacing w:line="360" w:lineRule="auto"/>
              <w:ind w:firstLine="422" w:firstLineChars="200"/>
              <w:jc w:val="center"/>
              <w:rPr>
                <w:b/>
                <w:bCs/>
              </w:rPr>
            </w:pPr>
            <w:r>
              <w:rPr>
                <w:b/>
                <w:bCs/>
              </w:rPr>
              <w:t>表3-11  大气环境保护目标一览表</w:t>
            </w:r>
          </w:p>
          <w:tbl>
            <w:tblPr>
              <w:tblStyle w:val="21"/>
              <w:tblW w:w="797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072"/>
              <w:gridCol w:w="1269"/>
              <w:gridCol w:w="1104"/>
              <w:gridCol w:w="1105"/>
              <w:gridCol w:w="572"/>
              <w:gridCol w:w="1119"/>
              <w:gridCol w:w="11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560" w:type="dxa"/>
                  <w:vMerge w:val="restart"/>
                  <w:tcMar>
                    <w:top w:w="0" w:type="dxa"/>
                    <w:left w:w="0" w:type="dxa"/>
                    <w:bottom w:w="0" w:type="dxa"/>
                    <w:right w:w="0" w:type="dxa"/>
                  </w:tcMar>
                  <w:vAlign w:val="center"/>
                </w:tcPr>
                <w:p>
                  <w:pPr>
                    <w:snapToGrid w:val="0"/>
                    <w:jc w:val="center"/>
                    <w:rPr>
                      <w:b/>
                      <w:bCs/>
                    </w:rPr>
                  </w:pPr>
                  <w:r>
                    <w:rPr>
                      <w:b/>
                      <w:bCs/>
                    </w:rPr>
                    <w:t>环境</w:t>
                  </w:r>
                </w:p>
                <w:p>
                  <w:pPr>
                    <w:snapToGrid w:val="0"/>
                    <w:jc w:val="center"/>
                    <w:rPr>
                      <w:b/>
                      <w:bCs/>
                    </w:rPr>
                  </w:pPr>
                  <w:r>
                    <w:rPr>
                      <w:b/>
                      <w:bCs/>
                    </w:rPr>
                    <w:t>要素</w:t>
                  </w:r>
                </w:p>
              </w:tc>
              <w:tc>
                <w:tcPr>
                  <w:tcW w:w="1072" w:type="dxa"/>
                  <w:vMerge w:val="restart"/>
                  <w:tcMar>
                    <w:top w:w="0" w:type="dxa"/>
                    <w:left w:w="0" w:type="dxa"/>
                    <w:bottom w:w="0" w:type="dxa"/>
                    <w:right w:w="0" w:type="dxa"/>
                  </w:tcMar>
                  <w:vAlign w:val="center"/>
                </w:tcPr>
                <w:p>
                  <w:pPr>
                    <w:snapToGrid w:val="0"/>
                    <w:jc w:val="center"/>
                    <w:rPr>
                      <w:b/>
                      <w:bCs/>
                    </w:rPr>
                  </w:pPr>
                  <w:r>
                    <w:rPr>
                      <w:b/>
                      <w:bCs/>
                    </w:rPr>
                    <w:t>名称</w:t>
                  </w:r>
                </w:p>
              </w:tc>
              <w:tc>
                <w:tcPr>
                  <w:tcW w:w="2373" w:type="dxa"/>
                  <w:gridSpan w:val="2"/>
                  <w:tcMar>
                    <w:top w:w="0" w:type="dxa"/>
                    <w:left w:w="0" w:type="dxa"/>
                    <w:bottom w:w="0" w:type="dxa"/>
                    <w:right w:w="0" w:type="dxa"/>
                  </w:tcMar>
                  <w:vAlign w:val="center"/>
                </w:tcPr>
                <w:p>
                  <w:pPr>
                    <w:snapToGrid w:val="0"/>
                    <w:jc w:val="center"/>
                    <w:rPr>
                      <w:b/>
                      <w:bCs/>
                    </w:rPr>
                  </w:pPr>
                  <w:r>
                    <w:rPr>
                      <w:b/>
                      <w:bCs/>
                    </w:rPr>
                    <w:t>坐标/m</w:t>
                  </w:r>
                </w:p>
              </w:tc>
              <w:tc>
                <w:tcPr>
                  <w:tcW w:w="1105" w:type="dxa"/>
                  <w:vMerge w:val="restart"/>
                  <w:tcMar>
                    <w:top w:w="0" w:type="dxa"/>
                    <w:left w:w="0" w:type="dxa"/>
                    <w:bottom w:w="0" w:type="dxa"/>
                    <w:right w:w="0" w:type="dxa"/>
                  </w:tcMar>
                  <w:vAlign w:val="center"/>
                </w:tcPr>
                <w:p>
                  <w:pPr>
                    <w:snapToGrid w:val="0"/>
                    <w:jc w:val="center"/>
                    <w:rPr>
                      <w:b/>
                      <w:bCs/>
                    </w:rPr>
                  </w:pPr>
                  <w:r>
                    <w:rPr>
                      <w:b/>
                      <w:bCs/>
                    </w:rPr>
                    <w:t>保护对象</w:t>
                  </w:r>
                </w:p>
              </w:tc>
              <w:tc>
                <w:tcPr>
                  <w:tcW w:w="572" w:type="dxa"/>
                  <w:vMerge w:val="restart"/>
                  <w:tcMar>
                    <w:top w:w="0" w:type="dxa"/>
                    <w:left w:w="0" w:type="dxa"/>
                    <w:bottom w:w="0" w:type="dxa"/>
                    <w:right w:w="0" w:type="dxa"/>
                  </w:tcMar>
                  <w:vAlign w:val="center"/>
                </w:tcPr>
                <w:p>
                  <w:pPr>
                    <w:snapToGrid w:val="0"/>
                    <w:jc w:val="center"/>
                    <w:rPr>
                      <w:b/>
                      <w:bCs/>
                    </w:rPr>
                  </w:pPr>
                  <w:r>
                    <w:rPr>
                      <w:b/>
                      <w:bCs/>
                    </w:rPr>
                    <w:t>方位</w:t>
                  </w:r>
                </w:p>
              </w:tc>
              <w:tc>
                <w:tcPr>
                  <w:tcW w:w="1119" w:type="dxa"/>
                  <w:vMerge w:val="restart"/>
                  <w:tcMar>
                    <w:top w:w="0" w:type="dxa"/>
                    <w:left w:w="0" w:type="dxa"/>
                    <w:bottom w:w="0" w:type="dxa"/>
                    <w:right w:w="0" w:type="dxa"/>
                  </w:tcMar>
                  <w:vAlign w:val="center"/>
                </w:tcPr>
                <w:p>
                  <w:pPr>
                    <w:snapToGrid w:val="0"/>
                    <w:jc w:val="center"/>
                    <w:rPr>
                      <w:b/>
                      <w:bCs/>
                    </w:rPr>
                  </w:pPr>
                  <w:r>
                    <w:rPr>
                      <w:b/>
                      <w:bCs/>
                    </w:rPr>
                    <w:t>距选址边界距离(m)</w:t>
                  </w:r>
                </w:p>
              </w:tc>
              <w:tc>
                <w:tcPr>
                  <w:tcW w:w="1173" w:type="dxa"/>
                  <w:vMerge w:val="restart"/>
                  <w:tcMar>
                    <w:top w:w="0" w:type="dxa"/>
                    <w:left w:w="0" w:type="dxa"/>
                    <w:bottom w:w="0" w:type="dxa"/>
                    <w:right w:w="0" w:type="dxa"/>
                  </w:tcMar>
                  <w:vAlign w:val="center"/>
                </w:tcPr>
                <w:p>
                  <w:pPr>
                    <w:snapToGrid w:val="0"/>
                    <w:jc w:val="center"/>
                    <w:rPr>
                      <w:b/>
                      <w:bCs/>
                    </w:rPr>
                  </w:pPr>
                  <w:r>
                    <w:rPr>
                      <w:b/>
                      <w:bCs/>
                    </w:rPr>
                    <w:t>环境类别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560" w:type="dxa"/>
                  <w:vMerge w:val="continue"/>
                  <w:vAlign w:val="center"/>
                </w:tcPr>
                <w:p>
                  <w:pPr>
                    <w:snapToGrid w:val="0"/>
                    <w:jc w:val="center"/>
                  </w:pPr>
                </w:p>
              </w:tc>
              <w:tc>
                <w:tcPr>
                  <w:tcW w:w="1072" w:type="dxa"/>
                  <w:vMerge w:val="continue"/>
                  <w:vAlign w:val="center"/>
                </w:tcPr>
                <w:p>
                  <w:pPr>
                    <w:snapToGrid w:val="0"/>
                    <w:jc w:val="center"/>
                  </w:pPr>
                </w:p>
              </w:tc>
              <w:tc>
                <w:tcPr>
                  <w:tcW w:w="1269" w:type="dxa"/>
                  <w:vAlign w:val="center"/>
                </w:tcPr>
                <w:p>
                  <w:pPr>
                    <w:jc w:val="center"/>
                    <w:rPr>
                      <w:rFonts w:hint="default" w:eastAsia="宋体"/>
                      <w:b/>
                      <w:bCs/>
                      <w:lang w:val="en-US" w:eastAsia="zh-CN"/>
                    </w:rPr>
                  </w:pPr>
                  <w:r>
                    <w:rPr>
                      <w:rFonts w:hint="eastAsia"/>
                      <w:b/>
                      <w:bCs/>
                      <w:lang w:val="en-US" w:eastAsia="zh-CN"/>
                    </w:rPr>
                    <w:t>经度</w:t>
                  </w:r>
                </w:p>
              </w:tc>
              <w:tc>
                <w:tcPr>
                  <w:tcW w:w="1104" w:type="dxa"/>
                  <w:vAlign w:val="center"/>
                </w:tcPr>
                <w:p>
                  <w:pPr>
                    <w:jc w:val="center"/>
                    <w:rPr>
                      <w:rFonts w:hint="eastAsia" w:eastAsia="宋体"/>
                      <w:b/>
                      <w:bCs/>
                      <w:lang w:val="en-US" w:eastAsia="zh-CN"/>
                    </w:rPr>
                  </w:pPr>
                  <w:r>
                    <w:rPr>
                      <w:rFonts w:hint="eastAsia"/>
                      <w:b/>
                      <w:bCs/>
                      <w:lang w:val="en-US" w:eastAsia="zh-CN"/>
                    </w:rPr>
                    <w:t>纬度</w:t>
                  </w:r>
                </w:p>
              </w:tc>
              <w:tc>
                <w:tcPr>
                  <w:tcW w:w="1105" w:type="dxa"/>
                  <w:vMerge w:val="continue"/>
                  <w:vAlign w:val="center"/>
                </w:tcPr>
                <w:p>
                  <w:pPr>
                    <w:snapToGrid w:val="0"/>
                    <w:jc w:val="center"/>
                  </w:pPr>
                </w:p>
              </w:tc>
              <w:tc>
                <w:tcPr>
                  <w:tcW w:w="572" w:type="dxa"/>
                  <w:vMerge w:val="continue"/>
                  <w:vAlign w:val="center"/>
                </w:tcPr>
                <w:p>
                  <w:pPr>
                    <w:snapToGrid w:val="0"/>
                    <w:jc w:val="center"/>
                  </w:pPr>
                </w:p>
              </w:tc>
              <w:tc>
                <w:tcPr>
                  <w:tcW w:w="1119" w:type="dxa"/>
                  <w:vMerge w:val="continue"/>
                  <w:vAlign w:val="center"/>
                </w:tcPr>
                <w:p>
                  <w:pPr>
                    <w:snapToGrid w:val="0"/>
                    <w:jc w:val="center"/>
                  </w:pPr>
                </w:p>
              </w:tc>
              <w:tc>
                <w:tcPr>
                  <w:tcW w:w="1173" w:type="dxa"/>
                  <w:vMerge w:val="continue"/>
                  <w:vAlign w:val="center"/>
                </w:tcPr>
                <w:p>
                  <w:pPr>
                    <w:snapToGrid w:val="0"/>
                    <w:jc w:val="cente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60" w:type="dxa"/>
                  <w:vMerge w:val="restart"/>
                  <w:tcMar>
                    <w:top w:w="0" w:type="dxa"/>
                    <w:left w:w="0" w:type="dxa"/>
                    <w:bottom w:w="0" w:type="dxa"/>
                    <w:right w:w="0" w:type="dxa"/>
                  </w:tcMar>
                  <w:vAlign w:val="center"/>
                </w:tcPr>
                <w:p>
                  <w:pPr>
                    <w:jc w:val="center"/>
                  </w:pPr>
                  <w:r>
                    <w:t>大气环境</w:t>
                  </w:r>
                </w:p>
              </w:tc>
              <w:tc>
                <w:tcPr>
                  <w:tcW w:w="1072" w:type="dxa"/>
                  <w:vAlign w:val="center"/>
                </w:tcPr>
                <w:p>
                  <w:pPr>
                    <w:jc w:val="center"/>
                    <w:rPr>
                      <w:rFonts w:hint="eastAsia" w:ascii="Times New Roman" w:hAnsi="Times New Roman" w:cs="Times New Roman"/>
                    </w:rPr>
                  </w:pPr>
                  <w:r>
                    <w:rPr>
                      <w:rFonts w:hint="eastAsia" w:ascii="Times New Roman" w:hAnsi="Times New Roman" w:cs="Times New Roman"/>
                    </w:rPr>
                    <w:t>马池沟</w:t>
                  </w:r>
                </w:p>
              </w:tc>
              <w:tc>
                <w:tcPr>
                  <w:tcW w:w="1269" w:type="dxa"/>
                  <w:vAlign w:val="center"/>
                </w:tcPr>
                <w:p>
                  <w:pPr>
                    <w:jc w:val="center"/>
                    <w:rPr>
                      <w:rFonts w:hint="eastAsia" w:ascii="Times New Roman" w:hAnsi="Times New Roman" w:cs="Times New Roman"/>
                    </w:rPr>
                  </w:pPr>
                  <w:r>
                    <w:rPr>
                      <w:rFonts w:hint="eastAsia" w:ascii="Times New Roman" w:hAnsi="Times New Roman" w:cs="Times New Roman"/>
                    </w:rPr>
                    <w:t>119.977537</w:t>
                  </w:r>
                </w:p>
              </w:tc>
              <w:tc>
                <w:tcPr>
                  <w:tcW w:w="1104" w:type="dxa"/>
                  <w:tcMar>
                    <w:top w:w="0" w:type="dxa"/>
                    <w:left w:w="0" w:type="dxa"/>
                    <w:bottom w:w="0" w:type="dxa"/>
                    <w:right w:w="0" w:type="dxa"/>
                  </w:tcMar>
                  <w:vAlign w:val="center"/>
                </w:tcPr>
                <w:p>
                  <w:pPr>
                    <w:jc w:val="center"/>
                    <w:rPr>
                      <w:rFonts w:hint="eastAsia" w:ascii="Times New Roman" w:hAnsi="Times New Roman" w:cs="Times New Roman"/>
                    </w:rPr>
                  </w:pPr>
                  <w:r>
                    <w:rPr>
                      <w:rFonts w:hint="eastAsia" w:ascii="Times New Roman" w:hAnsi="Times New Roman" w:cs="Times New Roman"/>
                    </w:rPr>
                    <w:t>31.638822</w:t>
                  </w:r>
                </w:p>
              </w:tc>
              <w:tc>
                <w:tcPr>
                  <w:tcW w:w="1105" w:type="dxa"/>
                  <w:vAlign w:val="center"/>
                </w:tcPr>
                <w:p>
                  <w:pPr>
                    <w:jc w:val="center"/>
                    <w:rPr>
                      <w:rFonts w:hint="eastAsia" w:ascii="Times New Roman" w:hAnsi="Times New Roman" w:cs="Times New Roman"/>
                    </w:rPr>
                  </w:pPr>
                  <w:r>
                    <w:rPr>
                      <w:rFonts w:hint="eastAsia" w:ascii="Times New Roman" w:hAnsi="Times New Roman" w:cs="Times New Roman"/>
                    </w:rPr>
                    <w:t>居民</w:t>
                  </w:r>
                </w:p>
              </w:tc>
              <w:tc>
                <w:tcPr>
                  <w:tcW w:w="572" w:type="dxa"/>
                  <w:vAlign w:val="center"/>
                </w:tcPr>
                <w:p>
                  <w:pPr>
                    <w:jc w:val="center"/>
                    <w:rPr>
                      <w:rFonts w:hint="eastAsia" w:ascii="Times New Roman" w:hAnsi="Times New Roman" w:cs="Times New Roman"/>
                    </w:rPr>
                  </w:pPr>
                  <w:r>
                    <w:rPr>
                      <w:rFonts w:hint="eastAsia" w:ascii="Times New Roman" w:hAnsi="Times New Roman" w:cs="Times New Roman"/>
                    </w:rPr>
                    <w:t>E</w:t>
                  </w:r>
                </w:p>
              </w:tc>
              <w:tc>
                <w:tcPr>
                  <w:tcW w:w="1119" w:type="dxa"/>
                  <w:vAlign w:val="center"/>
                </w:tcPr>
                <w:p>
                  <w:pPr>
                    <w:jc w:val="center"/>
                    <w:rPr>
                      <w:rFonts w:hint="default" w:eastAsia="宋体"/>
                      <w:lang w:val="en-US" w:eastAsia="zh-CN"/>
                    </w:rPr>
                  </w:pPr>
                  <w:r>
                    <w:rPr>
                      <w:rFonts w:hint="eastAsia"/>
                      <w:lang w:val="en-US" w:eastAsia="zh-CN"/>
                    </w:rPr>
                    <w:t>326</w:t>
                  </w:r>
                </w:p>
              </w:tc>
              <w:tc>
                <w:tcPr>
                  <w:tcW w:w="1173" w:type="dxa"/>
                  <w:vMerge w:val="restart"/>
                  <w:vAlign w:val="center"/>
                </w:tcPr>
                <w:p>
                  <w:pPr>
                    <w:wordWrap w:val="0"/>
                    <w:snapToGrid w:val="0"/>
                    <w:jc w:val="center"/>
                  </w:pPr>
                  <w:r>
                    <w:t>环境空气质量标准(GB3095-2012)二级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560" w:type="dxa"/>
                  <w:vMerge w:val="continue"/>
                  <w:tcMar>
                    <w:top w:w="0" w:type="dxa"/>
                    <w:left w:w="0" w:type="dxa"/>
                    <w:bottom w:w="0" w:type="dxa"/>
                    <w:right w:w="0" w:type="dxa"/>
                  </w:tcMar>
                  <w:vAlign w:val="center"/>
                </w:tcPr>
                <w:p>
                  <w:pPr>
                    <w:jc w:val="center"/>
                  </w:pPr>
                </w:p>
              </w:tc>
              <w:tc>
                <w:tcPr>
                  <w:tcW w:w="1072" w:type="dxa"/>
                  <w:vAlign w:val="center"/>
                </w:tcPr>
                <w:p>
                  <w:pPr>
                    <w:jc w:val="center"/>
                    <w:rPr>
                      <w:rFonts w:hint="eastAsia" w:ascii="Times New Roman" w:hAnsi="Times New Roman" w:cs="Times New Roman"/>
                    </w:rPr>
                  </w:pPr>
                  <w:r>
                    <w:rPr>
                      <w:rFonts w:hint="eastAsia" w:ascii="Times New Roman" w:hAnsi="Times New Roman" w:cs="Times New Roman"/>
                    </w:rPr>
                    <w:t>莫家塘</w:t>
                  </w:r>
                </w:p>
              </w:tc>
              <w:tc>
                <w:tcPr>
                  <w:tcW w:w="1269" w:type="dxa"/>
                  <w:tcMar>
                    <w:top w:w="0" w:type="dxa"/>
                    <w:left w:w="0" w:type="dxa"/>
                    <w:bottom w:w="0" w:type="dxa"/>
                    <w:right w:w="0" w:type="dxa"/>
                  </w:tcMar>
                  <w:vAlign w:val="center"/>
                </w:tcPr>
                <w:p>
                  <w:pPr>
                    <w:jc w:val="center"/>
                    <w:rPr>
                      <w:rFonts w:hint="eastAsia" w:ascii="Times New Roman" w:hAnsi="Times New Roman" w:cs="Times New Roman"/>
                    </w:rPr>
                  </w:pPr>
                  <w:r>
                    <w:rPr>
                      <w:rFonts w:hint="eastAsia" w:ascii="Times New Roman" w:hAnsi="Times New Roman" w:cs="Times New Roman"/>
                    </w:rPr>
                    <w:t>119.972913</w:t>
                  </w:r>
                </w:p>
              </w:tc>
              <w:tc>
                <w:tcPr>
                  <w:tcW w:w="1104" w:type="dxa"/>
                  <w:tcMar>
                    <w:top w:w="0" w:type="dxa"/>
                    <w:left w:w="0" w:type="dxa"/>
                    <w:bottom w:w="0" w:type="dxa"/>
                    <w:right w:w="0" w:type="dxa"/>
                  </w:tcMar>
                  <w:vAlign w:val="center"/>
                </w:tcPr>
                <w:p>
                  <w:pPr>
                    <w:jc w:val="center"/>
                    <w:rPr>
                      <w:rFonts w:hint="eastAsia" w:ascii="Times New Roman" w:hAnsi="Times New Roman" w:cs="Times New Roman"/>
                    </w:rPr>
                  </w:pPr>
                  <w:r>
                    <w:rPr>
                      <w:rFonts w:hint="eastAsia" w:ascii="Times New Roman" w:hAnsi="Times New Roman" w:cs="Times New Roman"/>
                    </w:rPr>
                    <w:t>31.634262</w:t>
                  </w:r>
                </w:p>
              </w:tc>
              <w:tc>
                <w:tcPr>
                  <w:tcW w:w="1105" w:type="dxa"/>
                  <w:vAlign w:val="center"/>
                </w:tcPr>
                <w:p>
                  <w:pPr>
                    <w:jc w:val="center"/>
                    <w:rPr>
                      <w:rFonts w:hint="eastAsia" w:ascii="Times New Roman" w:hAnsi="Times New Roman" w:cs="Times New Roman"/>
                    </w:rPr>
                  </w:pPr>
                  <w:r>
                    <w:rPr>
                      <w:rFonts w:hint="eastAsia" w:ascii="Times New Roman" w:hAnsi="Times New Roman" w:cs="Times New Roman"/>
                    </w:rPr>
                    <w:t>居民</w:t>
                  </w:r>
                </w:p>
              </w:tc>
              <w:tc>
                <w:tcPr>
                  <w:tcW w:w="572" w:type="dxa"/>
                  <w:tcMar>
                    <w:top w:w="0" w:type="dxa"/>
                    <w:left w:w="0" w:type="dxa"/>
                    <w:bottom w:w="0" w:type="dxa"/>
                    <w:right w:w="0" w:type="dxa"/>
                  </w:tcMar>
                  <w:vAlign w:val="center"/>
                </w:tcPr>
                <w:p>
                  <w:pPr>
                    <w:jc w:val="center"/>
                    <w:rPr>
                      <w:rFonts w:hint="eastAsia" w:ascii="Times New Roman" w:hAnsi="Times New Roman" w:cs="Times New Roman"/>
                    </w:rPr>
                  </w:pPr>
                  <w:r>
                    <w:rPr>
                      <w:rFonts w:hint="eastAsia" w:ascii="Times New Roman" w:hAnsi="Times New Roman" w:cs="Times New Roman"/>
                    </w:rPr>
                    <w:t>S</w:t>
                  </w:r>
                </w:p>
              </w:tc>
              <w:tc>
                <w:tcPr>
                  <w:tcW w:w="1119" w:type="dxa"/>
                  <w:vAlign w:val="center"/>
                </w:tcPr>
                <w:p>
                  <w:pPr>
                    <w:jc w:val="center"/>
                    <w:rPr>
                      <w:rFonts w:hint="default" w:eastAsia="宋体"/>
                      <w:lang w:val="en-US" w:eastAsia="zh-CN"/>
                    </w:rPr>
                  </w:pPr>
                  <w:r>
                    <w:rPr>
                      <w:rFonts w:hint="eastAsia"/>
                      <w:lang w:val="en-US" w:eastAsia="zh-CN"/>
                    </w:rPr>
                    <w:t>456</w:t>
                  </w:r>
                </w:p>
              </w:tc>
              <w:tc>
                <w:tcPr>
                  <w:tcW w:w="1173" w:type="dxa"/>
                  <w:vMerge w:val="continue"/>
                  <w:vAlign w:val="center"/>
                </w:tcPr>
                <w:p>
                  <w:pPr>
                    <w:jc w:val="center"/>
                  </w:pPr>
                </w:p>
              </w:tc>
            </w:tr>
          </w:tbl>
          <w:p>
            <w:pPr>
              <w:adjustRightInd w:val="0"/>
              <w:snapToGrid w:val="0"/>
              <w:jc w:val="left"/>
              <w:rPr>
                <w:b/>
                <w:bCs/>
              </w:rPr>
            </w:pPr>
            <w:r>
              <w:rPr>
                <w:b/>
                <w:bCs/>
              </w:rPr>
              <w:t>注：以本项目厂房所在地为坐标原点。</w:t>
            </w:r>
          </w:p>
          <w:p>
            <w:pPr>
              <w:adjustRightInd w:val="0"/>
              <w:snapToGrid w:val="0"/>
              <w:spacing w:line="360" w:lineRule="auto"/>
              <w:ind w:firstLine="420" w:firstLineChars="200"/>
              <w:jc w:val="left"/>
              <w:rPr>
                <w:kern w:val="0"/>
                <w:szCs w:val="21"/>
              </w:rPr>
            </w:pPr>
            <w:r>
              <w:rPr>
                <w:kern w:val="0"/>
                <w:szCs w:val="21"/>
              </w:rPr>
              <w:t>2、声环境：本项目厂界外50米范围内无声环境保护目标。</w:t>
            </w:r>
          </w:p>
          <w:p>
            <w:pPr>
              <w:adjustRightInd w:val="0"/>
              <w:snapToGrid w:val="0"/>
              <w:spacing w:line="360" w:lineRule="auto"/>
              <w:ind w:firstLine="420" w:firstLineChars="200"/>
              <w:jc w:val="left"/>
              <w:rPr>
                <w:kern w:val="0"/>
                <w:szCs w:val="21"/>
              </w:rPr>
            </w:pPr>
            <w:r>
              <w:rPr>
                <w:kern w:val="0"/>
                <w:szCs w:val="21"/>
              </w:rPr>
              <w:t>3、地下水环境：本项目厂界外500米范围内无地下水集中式饮用水水源和热水、矿泉水、温泉等特殊地下水资源。</w:t>
            </w:r>
          </w:p>
          <w:p>
            <w:pPr>
              <w:adjustRightInd w:val="0"/>
              <w:snapToGrid w:val="0"/>
              <w:spacing w:line="360" w:lineRule="auto"/>
              <w:ind w:firstLine="420" w:firstLineChars="200"/>
              <w:jc w:val="left"/>
              <w:rPr>
                <w:kern w:val="0"/>
                <w:szCs w:val="21"/>
              </w:rPr>
            </w:pPr>
            <w:r>
              <w:rPr>
                <w:kern w:val="0"/>
                <w:szCs w:val="21"/>
              </w:rPr>
              <w:t>4、生态环境：</w:t>
            </w:r>
            <w:r>
              <w:rPr>
                <w:rFonts w:hint="eastAsia"/>
                <w:kern w:val="0"/>
                <w:szCs w:val="21"/>
              </w:rPr>
              <w:t>本项目位于江苏省常州市武进国家高新技术产业开发区龙逸路76号，未在产业园区外新增用地的，对周边生态环境影响较小</w:t>
            </w:r>
            <w:r>
              <w:rPr>
                <w:kern w:val="0"/>
                <w:szCs w:val="21"/>
              </w:rPr>
              <w:t>。</w:t>
            </w:r>
          </w:p>
          <w:p>
            <w:pPr>
              <w:adjustRightInd w:val="0"/>
              <w:snapToGrid w:val="0"/>
              <w:spacing w:line="360" w:lineRule="auto"/>
              <w:jc w:val="left"/>
              <w:rPr>
                <w:kern w:val="0"/>
                <w:szCs w:val="21"/>
              </w:rPr>
            </w:pPr>
          </w:p>
          <w:p>
            <w:pPr>
              <w:adjustRightInd w:val="0"/>
              <w:snapToGrid w:val="0"/>
              <w:spacing w:line="360" w:lineRule="auto"/>
              <w:jc w:val="left"/>
              <w:rPr>
                <w:kern w:val="0"/>
                <w:szCs w:val="21"/>
              </w:rPr>
            </w:pPr>
          </w:p>
          <w:p>
            <w:pPr>
              <w:adjustRightInd w:val="0"/>
              <w:snapToGrid w:val="0"/>
              <w:spacing w:line="360" w:lineRule="auto"/>
              <w:jc w:val="left"/>
              <w:rPr>
                <w:kern w:val="0"/>
                <w:szCs w:val="21"/>
              </w:rPr>
            </w:pPr>
          </w:p>
          <w:p>
            <w:pPr>
              <w:adjustRightInd w:val="0"/>
              <w:snapToGrid w:val="0"/>
              <w:spacing w:line="360" w:lineRule="auto"/>
              <w:jc w:val="left"/>
              <w:rPr>
                <w:kern w:val="0"/>
                <w:szCs w:val="21"/>
              </w:rPr>
            </w:pPr>
          </w:p>
          <w:p>
            <w:pPr>
              <w:adjustRightInd w:val="0"/>
              <w:snapToGrid w:val="0"/>
              <w:spacing w:line="360" w:lineRule="auto"/>
              <w:jc w:val="left"/>
              <w:rPr>
                <w:kern w:val="0"/>
                <w:szCs w:val="21"/>
              </w:rPr>
            </w:pPr>
          </w:p>
          <w:p>
            <w:pPr>
              <w:adjustRightInd w:val="0"/>
              <w:snapToGrid w:val="0"/>
              <w:spacing w:line="360" w:lineRule="auto"/>
              <w:jc w:val="left"/>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24" w:hRule="atLeast"/>
          <w:jc w:val="center"/>
        </w:trPr>
        <w:tc>
          <w:tcPr>
            <w:tcW w:w="800" w:type="dxa"/>
            <w:tcMar>
              <w:left w:w="28" w:type="dxa"/>
              <w:right w:w="28" w:type="dxa"/>
            </w:tcMar>
            <w:vAlign w:val="center"/>
          </w:tcPr>
          <w:p>
            <w:pPr>
              <w:adjustRightInd w:val="0"/>
              <w:snapToGrid w:val="0"/>
              <w:jc w:val="center"/>
              <w:rPr>
                <w:kern w:val="0"/>
                <w:szCs w:val="21"/>
              </w:rPr>
            </w:pPr>
            <w:r>
              <w:rPr>
                <w:kern w:val="0"/>
                <w:szCs w:val="21"/>
              </w:rPr>
              <w:t>污染</w:t>
            </w:r>
          </w:p>
          <w:p>
            <w:pPr>
              <w:adjustRightInd w:val="0"/>
              <w:snapToGrid w:val="0"/>
              <w:jc w:val="center"/>
              <w:rPr>
                <w:kern w:val="0"/>
                <w:szCs w:val="21"/>
              </w:rPr>
            </w:pPr>
            <w:r>
              <w:rPr>
                <w:kern w:val="0"/>
                <w:szCs w:val="21"/>
              </w:rPr>
              <w:t>物排</w:t>
            </w:r>
          </w:p>
          <w:p>
            <w:pPr>
              <w:adjustRightInd w:val="0"/>
              <w:snapToGrid w:val="0"/>
              <w:jc w:val="center"/>
              <w:rPr>
                <w:kern w:val="0"/>
                <w:szCs w:val="21"/>
              </w:rPr>
            </w:pPr>
            <w:r>
              <w:rPr>
                <w:kern w:val="0"/>
                <w:szCs w:val="21"/>
              </w:rPr>
              <w:t>放控</w:t>
            </w:r>
          </w:p>
          <w:p>
            <w:pPr>
              <w:adjustRightInd w:val="0"/>
              <w:snapToGrid w:val="0"/>
              <w:jc w:val="center"/>
              <w:rPr>
                <w:kern w:val="0"/>
                <w:szCs w:val="21"/>
              </w:rPr>
            </w:pPr>
            <w:r>
              <w:rPr>
                <w:kern w:val="0"/>
                <w:szCs w:val="21"/>
              </w:rPr>
              <w:t>制标</w:t>
            </w:r>
          </w:p>
          <w:p>
            <w:pPr>
              <w:adjustRightInd w:val="0"/>
              <w:snapToGrid w:val="0"/>
              <w:jc w:val="center"/>
              <w:rPr>
                <w:kern w:val="0"/>
                <w:szCs w:val="21"/>
              </w:rPr>
            </w:pPr>
            <w:r>
              <w:rPr>
                <w:kern w:val="0"/>
                <w:szCs w:val="21"/>
              </w:rPr>
              <w:t>准</w:t>
            </w:r>
          </w:p>
        </w:tc>
        <w:tc>
          <w:tcPr>
            <w:tcW w:w="8190" w:type="dxa"/>
            <w:vAlign w:val="center"/>
          </w:tcPr>
          <w:p>
            <w:pPr>
              <w:spacing w:line="360" w:lineRule="auto"/>
              <w:ind w:firstLine="420" w:firstLineChars="200"/>
              <w:rPr>
                <w:szCs w:val="21"/>
              </w:rPr>
            </w:pPr>
            <w:r>
              <w:rPr>
                <w:szCs w:val="21"/>
              </w:rPr>
              <w:t>1、废水排放标准</w:t>
            </w:r>
          </w:p>
          <w:p>
            <w:pPr>
              <w:spacing w:line="360" w:lineRule="auto"/>
              <w:ind w:firstLine="420" w:firstLineChars="200"/>
              <w:rPr>
                <w:szCs w:val="21"/>
              </w:rPr>
            </w:pPr>
            <w:r>
              <w:rPr>
                <w:szCs w:val="21"/>
              </w:rPr>
              <w:t>本项目生活污水接入武南污水处理厂处理，接管标准执行《污水排入城镇下水道水质标准》（GB/T 31962-2015）表1中B等级标准。武南污水处理厂位于太湖流域三级保护区内，其处理后的尾水排入武南河，排放标准执行《太湖地区城镇污水处理厂及重点工业行业水污染物排放限值》（DB32/1072-2018）表2标准和《城镇污水处理厂污染物排放标准》（GB18918-2002）表1一级A标准，具体指标见表3-1</w:t>
            </w:r>
            <w:r>
              <w:rPr>
                <w:rFonts w:hint="eastAsia"/>
                <w:szCs w:val="21"/>
              </w:rPr>
              <w:t>3</w:t>
            </w:r>
            <w:r>
              <w:rPr>
                <w:szCs w:val="21"/>
              </w:rPr>
              <w:t>。</w:t>
            </w:r>
          </w:p>
          <w:p>
            <w:pPr>
              <w:pStyle w:val="17"/>
              <w:spacing w:before="0" w:beforeAutospacing="0" w:after="0" w:afterAutospacing="0" w:line="360" w:lineRule="auto"/>
              <w:jc w:val="center"/>
              <w:rPr>
                <w:rFonts w:ascii="Times New Roman" w:hAnsi="Times New Roman"/>
                <w:b/>
                <w:bCs/>
                <w:sz w:val="21"/>
                <w:szCs w:val="21"/>
              </w:rPr>
            </w:pPr>
            <w:r>
              <w:rPr>
                <w:rFonts w:ascii="Times New Roman" w:hAnsi="Times New Roman"/>
                <w:b/>
                <w:bCs/>
                <w:sz w:val="21"/>
                <w:szCs w:val="21"/>
              </w:rPr>
              <w:t>表3-1</w:t>
            </w:r>
            <w:r>
              <w:rPr>
                <w:rFonts w:hint="eastAsia" w:ascii="Times New Roman" w:hAnsi="Times New Roman"/>
                <w:b/>
                <w:bCs/>
                <w:sz w:val="21"/>
                <w:szCs w:val="21"/>
              </w:rPr>
              <w:t>3</w:t>
            </w:r>
            <w:r>
              <w:rPr>
                <w:rFonts w:ascii="Times New Roman" w:hAnsi="Times New Roman"/>
                <w:b/>
                <w:bCs/>
                <w:sz w:val="21"/>
                <w:szCs w:val="21"/>
              </w:rPr>
              <w:t xml:space="preserve">  废水接管及排放标准</w:t>
            </w:r>
          </w:p>
          <w:tbl>
            <w:tblPr>
              <w:tblStyle w:val="21"/>
              <w:tblW w:w="797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2660"/>
              <w:gridCol w:w="885"/>
              <w:gridCol w:w="995"/>
              <w:gridCol w:w="953"/>
              <w:gridCol w:w="14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3" w:type="dxa"/>
                  <w:tcMar>
                    <w:top w:w="0" w:type="dxa"/>
                    <w:left w:w="0" w:type="dxa"/>
                    <w:bottom w:w="0" w:type="dxa"/>
                    <w:right w:w="0" w:type="dxa"/>
                  </w:tcMar>
                  <w:vAlign w:val="center"/>
                </w:tcPr>
                <w:p>
                  <w:pPr>
                    <w:jc w:val="center"/>
                    <w:rPr>
                      <w:b/>
                      <w:bCs/>
                      <w:szCs w:val="21"/>
                    </w:rPr>
                  </w:pPr>
                  <w:r>
                    <w:rPr>
                      <w:b/>
                      <w:bCs/>
                      <w:szCs w:val="21"/>
                    </w:rPr>
                    <w:t>排放口</w:t>
                  </w:r>
                </w:p>
                <w:p>
                  <w:pPr>
                    <w:jc w:val="center"/>
                    <w:rPr>
                      <w:b/>
                      <w:bCs/>
                      <w:szCs w:val="21"/>
                    </w:rPr>
                  </w:pPr>
                  <w:r>
                    <w:rPr>
                      <w:b/>
                      <w:bCs/>
                      <w:szCs w:val="21"/>
                    </w:rPr>
                    <w:t>名称</w:t>
                  </w:r>
                </w:p>
              </w:tc>
              <w:tc>
                <w:tcPr>
                  <w:tcW w:w="2660" w:type="dxa"/>
                  <w:tcMar>
                    <w:top w:w="0" w:type="dxa"/>
                    <w:left w:w="0" w:type="dxa"/>
                    <w:bottom w:w="0" w:type="dxa"/>
                    <w:right w:w="0" w:type="dxa"/>
                  </w:tcMar>
                  <w:vAlign w:val="center"/>
                </w:tcPr>
                <w:p>
                  <w:pPr>
                    <w:jc w:val="center"/>
                    <w:rPr>
                      <w:b/>
                      <w:bCs/>
                      <w:szCs w:val="21"/>
                    </w:rPr>
                  </w:pPr>
                  <w:r>
                    <w:rPr>
                      <w:b/>
                      <w:bCs/>
                      <w:szCs w:val="21"/>
                    </w:rPr>
                    <w:t>执行标准</w:t>
                  </w:r>
                </w:p>
              </w:tc>
              <w:tc>
                <w:tcPr>
                  <w:tcW w:w="885" w:type="dxa"/>
                  <w:tcMar>
                    <w:top w:w="0" w:type="dxa"/>
                    <w:left w:w="0" w:type="dxa"/>
                    <w:bottom w:w="0" w:type="dxa"/>
                    <w:right w:w="0" w:type="dxa"/>
                  </w:tcMar>
                  <w:vAlign w:val="center"/>
                </w:tcPr>
                <w:p>
                  <w:pPr>
                    <w:jc w:val="center"/>
                    <w:rPr>
                      <w:b/>
                      <w:bCs/>
                      <w:szCs w:val="21"/>
                    </w:rPr>
                  </w:pPr>
                  <w:r>
                    <w:rPr>
                      <w:b/>
                      <w:bCs/>
                      <w:szCs w:val="21"/>
                    </w:rPr>
                    <w:t>取值表号</w:t>
                  </w:r>
                </w:p>
                <w:p>
                  <w:pPr>
                    <w:jc w:val="center"/>
                    <w:rPr>
                      <w:b/>
                      <w:bCs/>
                      <w:szCs w:val="21"/>
                    </w:rPr>
                  </w:pPr>
                  <w:r>
                    <w:rPr>
                      <w:b/>
                      <w:bCs/>
                      <w:szCs w:val="21"/>
                    </w:rPr>
                    <w:t>及级别</w:t>
                  </w:r>
                </w:p>
              </w:tc>
              <w:tc>
                <w:tcPr>
                  <w:tcW w:w="995" w:type="dxa"/>
                  <w:tcMar>
                    <w:top w:w="0" w:type="dxa"/>
                    <w:left w:w="0" w:type="dxa"/>
                    <w:bottom w:w="0" w:type="dxa"/>
                    <w:right w:w="0" w:type="dxa"/>
                  </w:tcMar>
                  <w:vAlign w:val="center"/>
                </w:tcPr>
                <w:p>
                  <w:pPr>
                    <w:jc w:val="center"/>
                    <w:rPr>
                      <w:b/>
                      <w:bCs/>
                      <w:szCs w:val="21"/>
                    </w:rPr>
                  </w:pPr>
                  <w:r>
                    <w:rPr>
                      <w:b/>
                      <w:bCs/>
                      <w:szCs w:val="21"/>
                    </w:rPr>
                    <w:t>污染物</w:t>
                  </w:r>
                </w:p>
                <w:p>
                  <w:pPr>
                    <w:jc w:val="center"/>
                    <w:rPr>
                      <w:b/>
                      <w:bCs/>
                      <w:szCs w:val="21"/>
                    </w:rPr>
                  </w:pPr>
                  <w:r>
                    <w:rPr>
                      <w:b/>
                      <w:bCs/>
                      <w:szCs w:val="21"/>
                    </w:rPr>
                    <w:t>指标</w:t>
                  </w:r>
                </w:p>
              </w:tc>
              <w:tc>
                <w:tcPr>
                  <w:tcW w:w="953" w:type="dxa"/>
                  <w:tcMar>
                    <w:top w:w="0" w:type="dxa"/>
                    <w:left w:w="0" w:type="dxa"/>
                    <w:bottom w:w="0" w:type="dxa"/>
                    <w:right w:w="0" w:type="dxa"/>
                  </w:tcMar>
                  <w:vAlign w:val="center"/>
                </w:tcPr>
                <w:p>
                  <w:pPr>
                    <w:jc w:val="center"/>
                    <w:rPr>
                      <w:b/>
                      <w:bCs/>
                      <w:szCs w:val="21"/>
                    </w:rPr>
                  </w:pPr>
                  <w:r>
                    <w:rPr>
                      <w:b/>
                      <w:bCs/>
                      <w:szCs w:val="21"/>
                    </w:rPr>
                    <w:t>单位</w:t>
                  </w:r>
                </w:p>
              </w:tc>
              <w:tc>
                <w:tcPr>
                  <w:tcW w:w="1428" w:type="dxa"/>
                  <w:tcMar>
                    <w:top w:w="0" w:type="dxa"/>
                    <w:left w:w="0" w:type="dxa"/>
                    <w:bottom w:w="0" w:type="dxa"/>
                    <w:right w:w="0" w:type="dxa"/>
                  </w:tcMar>
                  <w:vAlign w:val="center"/>
                </w:tcPr>
                <w:p>
                  <w:pPr>
                    <w:jc w:val="center"/>
                    <w:rPr>
                      <w:b/>
                      <w:bCs/>
                      <w:szCs w:val="21"/>
                    </w:rPr>
                  </w:pPr>
                  <w:r>
                    <w:rPr>
                      <w:b/>
                      <w:bCs/>
                      <w:szCs w:val="21"/>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3" w:type="dxa"/>
                  <w:vMerge w:val="restart"/>
                  <w:vAlign w:val="center"/>
                </w:tcPr>
                <w:p>
                  <w:pPr>
                    <w:jc w:val="center"/>
                    <w:rPr>
                      <w:szCs w:val="21"/>
                    </w:rPr>
                  </w:pPr>
                  <w:r>
                    <w:rPr>
                      <w:szCs w:val="21"/>
                    </w:rPr>
                    <w:t>项目接管排口</w:t>
                  </w:r>
                </w:p>
              </w:tc>
              <w:tc>
                <w:tcPr>
                  <w:tcW w:w="2660" w:type="dxa"/>
                  <w:vMerge w:val="restart"/>
                  <w:vAlign w:val="center"/>
                </w:tcPr>
                <w:p>
                  <w:pPr>
                    <w:jc w:val="center"/>
                    <w:rPr>
                      <w:szCs w:val="21"/>
                    </w:rPr>
                  </w:pPr>
                  <w:r>
                    <w:rPr>
                      <w:szCs w:val="21"/>
                    </w:rPr>
                    <w:t>《污水排入城镇下水道水质标准》(GB/T31962-2015)</w:t>
                  </w:r>
                </w:p>
              </w:tc>
              <w:tc>
                <w:tcPr>
                  <w:tcW w:w="885" w:type="dxa"/>
                  <w:vMerge w:val="restart"/>
                  <w:vAlign w:val="center"/>
                </w:tcPr>
                <w:p>
                  <w:pPr>
                    <w:jc w:val="center"/>
                    <w:rPr>
                      <w:szCs w:val="21"/>
                    </w:rPr>
                  </w:pPr>
                  <w:r>
                    <w:rPr>
                      <w:szCs w:val="21"/>
                    </w:rPr>
                    <w:t>表1B等级</w:t>
                  </w:r>
                </w:p>
              </w:tc>
              <w:tc>
                <w:tcPr>
                  <w:tcW w:w="995" w:type="dxa"/>
                  <w:vAlign w:val="center"/>
                </w:tcPr>
                <w:p>
                  <w:pPr>
                    <w:jc w:val="center"/>
                    <w:rPr>
                      <w:szCs w:val="21"/>
                    </w:rPr>
                  </w:pPr>
                  <w:r>
                    <w:rPr>
                      <w:szCs w:val="21"/>
                    </w:rPr>
                    <w:t>pH</w:t>
                  </w:r>
                </w:p>
              </w:tc>
              <w:tc>
                <w:tcPr>
                  <w:tcW w:w="953" w:type="dxa"/>
                  <w:vAlign w:val="center"/>
                </w:tcPr>
                <w:p>
                  <w:pPr>
                    <w:jc w:val="center"/>
                    <w:rPr>
                      <w:szCs w:val="21"/>
                    </w:rPr>
                  </w:pPr>
                  <w:r>
                    <w:rPr>
                      <w:szCs w:val="21"/>
                    </w:rPr>
                    <w:t>无量纲</w:t>
                  </w:r>
                </w:p>
              </w:tc>
              <w:tc>
                <w:tcPr>
                  <w:tcW w:w="1428" w:type="dxa"/>
                  <w:vAlign w:val="center"/>
                </w:tcPr>
                <w:p>
                  <w:pPr>
                    <w:jc w:val="center"/>
                    <w:rPr>
                      <w:szCs w:val="21"/>
                    </w:rPr>
                  </w:pPr>
                  <w:r>
                    <w:rPr>
                      <w:szCs w:val="21"/>
                    </w:rPr>
                    <w:t>6</w:t>
                  </w:r>
                  <w:r>
                    <w:rPr>
                      <w:rFonts w:hint="eastAsia"/>
                      <w:szCs w:val="21"/>
                    </w:rPr>
                    <w:t>.5</w:t>
                  </w:r>
                  <w:r>
                    <w:rPr>
                      <w:szCs w:val="21"/>
                    </w:rPr>
                    <w:t>~9</w:t>
                  </w:r>
                  <w:r>
                    <w:rPr>
                      <w:rFonts w:hint="eastAsia"/>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3" w:type="dxa"/>
                  <w:vMerge w:val="continue"/>
                  <w:vAlign w:val="center"/>
                </w:tcPr>
                <w:p>
                  <w:pPr>
                    <w:jc w:val="center"/>
                    <w:rPr>
                      <w:szCs w:val="21"/>
                    </w:rPr>
                  </w:pPr>
                </w:p>
              </w:tc>
              <w:tc>
                <w:tcPr>
                  <w:tcW w:w="2660" w:type="dxa"/>
                  <w:vMerge w:val="continue"/>
                  <w:vAlign w:val="center"/>
                </w:tcPr>
                <w:p>
                  <w:pPr>
                    <w:jc w:val="center"/>
                    <w:rPr>
                      <w:szCs w:val="21"/>
                    </w:rPr>
                  </w:pPr>
                </w:p>
              </w:tc>
              <w:tc>
                <w:tcPr>
                  <w:tcW w:w="885" w:type="dxa"/>
                  <w:vMerge w:val="continue"/>
                  <w:vAlign w:val="center"/>
                </w:tcPr>
                <w:p>
                  <w:pPr>
                    <w:jc w:val="center"/>
                    <w:rPr>
                      <w:szCs w:val="21"/>
                    </w:rPr>
                  </w:pPr>
                </w:p>
              </w:tc>
              <w:tc>
                <w:tcPr>
                  <w:tcW w:w="995" w:type="dxa"/>
                  <w:vAlign w:val="center"/>
                </w:tcPr>
                <w:p>
                  <w:pPr>
                    <w:jc w:val="center"/>
                    <w:rPr>
                      <w:szCs w:val="21"/>
                    </w:rPr>
                  </w:pPr>
                  <w:r>
                    <w:rPr>
                      <w:szCs w:val="21"/>
                    </w:rPr>
                    <w:t>COD</w:t>
                  </w:r>
                </w:p>
              </w:tc>
              <w:tc>
                <w:tcPr>
                  <w:tcW w:w="953" w:type="dxa"/>
                  <w:vAlign w:val="center"/>
                </w:tcPr>
                <w:p>
                  <w:pPr>
                    <w:jc w:val="center"/>
                    <w:rPr>
                      <w:szCs w:val="21"/>
                    </w:rPr>
                  </w:pPr>
                  <w:r>
                    <w:rPr>
                      <w:szCs w:val="21"/>
                    </w:rPr>
                    <w:t>mg/L</w:t>
                  </w:r>
                </w:p>
              </w:tc>
              <w:tc>
                <w:tcPr>
                  <w:tcW w:w="1428" w:type="dxa"/>
                  <w:vAlign w:val="center"/>
                </w:tcPr>
                <w:p>
                  <w:pPr>
                    <w:jc w:val="center"/>
                    <w:rPr>
                      <w:szCs w:val="21"/>
                    </w:rPr>
                  </w:pPr>
                  <w:r>
                    <w:rPr>
                      <w:szCs w:val="21"/>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3" w:type="dxa"/>
                  <w:vMerge w:val="continue"/>
                  <w:vAlign w:val="center"/>
                </w:tcPr>
                <w:p>
                  <w:pPr>
                    <w:jc w:val="center"/>
                    <w:rPr>
                      <w:szCs w:val="21"/>
                    </w:rPr>
                  </w:pPr>
                </w:p>
              </w:tc>
              <w:tc>
                <w:tcPr>
                  <w:tcW w:w="2660" w:type="dxa"/>
                  <w:vMerge w:val="continue"/>
                  <w:vAlign w:val="center"/>
                </w:tcPr>
                <w:p>
                  <w:pPr>
                    <w:jc w:val="center"/>
                    <w:rPr>
                      <w:szCs w:val="21"/>
                    </w:rPr>
                  </w:pPr>
                </w:p>
              </w:tc>
              <w:tc>
                <w:tcPr>
                  <w:tcW w:w="885" w:type="dxa"/>
                  <w:vMerge w:val="continue"/>
                  <w:vAlign w:val="center"/>
                </w:tcPr>
                <w:p>
                  <w:pPr>
                    <w:jc w:val="center"/>
                    <w:rPr>
                      <w:szCs w:val="21"/>
                    </w:rPr>
                  </w:pPr>
                </w:p>
              </w:tc>
              <w:tc>
                <w:tcPr>
                  <w:tcW w:w="995" w:type="dxa"/>
                  <w:vAlign w:val="center"/>
                </w:tcPr>
                <w:p>
                  <w:pPr>
                    <w:jc w:val="center"/>
                    <w:rPr>
                      <w:szCs w:val="21"/>
                    </w:rPr>
                  </w:pPr>
                  <w:r>
                    <w:rPr>
                      <w:szCs w:val="21"/>
                    </w:rPr>
                    <w:t>SS</w:t>
                  </w:r>
                </w:p>
              </w:tc>
              <w:tc>
                <w:tcPr>
                  <w:tcW w:w="953" w:type="dxa"/>
                  <w:vAlign w:val="center"/>
                </w:tcPr>
                <w:p>
                  <w:pPr>
                    <w:jc w:val="center"/>
                    <w:rPr>
                      <w:szCs w:val="21"/>
                    </w:rPr>
                  </w:pPr>
                  <w:r>
                    <w:rPr>
                      <w:szCs w:val="21"/>
                    </w:rPr>
                    <w:t>mg/L</w:t>
                  </w:r>
                </w:p>
              </w:tc>
              <w:tc>
                <w:tcPr>
                  <w:tcW w:w="1428" w:type="dxa"/>
                  <w:vAlign w:val="center"/>
                </w:tcPr>
                <w:p>
                  <w:pPr>
                    <w:jc w:val="center"/>
                    <w:rPr>
                      <w:szCs w:val="21"/>
                    </w:rPr>
                  </w:pPr>
                  <w:r>
                    <w:rPr>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jc w:val="center"/>
              </w:trPr>
              <w:tc>
                <w:tcPr>
                  <w:tcW w:w="1053" w:type="dxa"/>
                  <w:vMerge w:val="continue"/>
                  <w:vAlign w:val="center"/>
                </w:tcPr>
                <w:p>
                  <w:pPr>
                    <w:jc w:val="center"/>
                    <w:rPr>
                      <w:szCs w:val="21"/>
                    </w:rPr>
                  </w:pPr>
                </w:p>
              </w:tc>
              <w:tc>
                <w:tcPr>
                  <w:tcW w:w="2660" w:type="dxa"/>
                  <w:vMerge w:val="continue"/>
                  <w:vAlign w:val="center"/>
                </w:tcPr>
                <w:p>
                  <w:pPr>
                    <w:jc w:val="center"/>
                    <w:rPr>
                      <w:szCs w:val="21"/>
                    </w:rPr>
                  </w:pPr>
                </w:p>
              </w:tc>
              <w:tc>
                <w:tcPr>
                  <w:tcW w:w="885" w:type="dxa"/>
                  <w:vMerge w:val="continue"/>
                  <w:vAlign w:val="center"/>
                </w:tcPr>
                <w:p>
                  <w:pPr>
                    <w:jc w:val="center"/>
                    <w:rPr>
                      <w:szCs w:val="21"/>
                    </w:rPr>
                  </w:pPr>
                </w:p>
              </w:tc>
              <w:tc>
                <w:tcPr>
                  <w:tcW w:w="995" w:type="dxa"/>
                  <w:vAlign w:val="center"/>
                </w:tcPr>
                <w:p>
                  <w:pPr>
                    <w:jc w:val="center"/>
                    <w:rPr>
                      <w:szCs w:val="21"/>
                    </w:rPr>
                  </w:pPr>
                  <w:r>
                    <w:rPr>
                      <w:szCs w:val="21"/>
                    </w:rPr>
                    <w:t>氨氮</w:t>
                  </w:r>
                </w:p>
              </w:tc>
              <w:tc>
                <w:tcPr>
                  <w:tcW w:w="953" w:type="dxa"/>
                  <w:vAlign w:val="center"/>
                </w:tcPr>
                <w:p>
                  <w:pPr>
                    <w:jc w:val="center"/>
                    <w:rPr>
                      <w:szCs w:val="21"/>
                    </w:rPr>
                  </w:pPr>
                  <w:r>
                    <w:rPr>
                      <w:szCs w:val="21"/>
                    </w:rPr>
                    <w:t>mg/L</w:t>
                  </w:r>
                </w:p>
              </w:tc>
              <w:tc>
                <w:tcPr>
                  <w:tcW w:w="1428" w:type="dxa"/>
                  <w:vAlign w:val="center"/>
                </w:tcPr>
                <w:p>
                  <w:pPr>
                    <w:jc w:val="center"/>
                    <w:rPr>
                      <w:szCs w:val="21"/>
                    </w:rPr>
                  </w:pPr>
                  <w:r>
                    <w:rPr>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jc w:val="center"/>
              </w:trPr>
              <w:tc>
                <w:tcPr>
                  <w:tcW w:w="1053" w:type="dxa"/>
                  <w:vMerge w:val="continue"/>
                  <w:vAlign w:val="center"/>
                </w:tcPr>
                <w:p>
                  <w:pPr>
                    <w:jc w:val="center"/>
                    <w:rPr>
                      <w:szCs w:val="21"/>
                    </w:rPr>
                  </w:pPr>
                </w:p>
              </w:tc>
              <w:tc>
                <w:tcPr>
                  <w:tcW w:w="2660" w:type="dxa"/>
                  <w:vMerge w:val="continue"/>
                  <w:vAlign w:val="center"/>
                </w:tcPr>
                <w:p>
                  <w:pPr>
                    <w:jc w:val="center"/>
                    <w:rPr>
                      <w:szCs w:val="21"/>
                    </w:rPr>
                  </w:pPr>
                </w:p>
              </w:tc>
              <w:tc>
                <w:tcPr>
                  <w:tcW w:w="885" w:type="dxa"/>
                  <w:vMerge w:val="continue"/>
                  <w:vAlign w:val="center"/>
                </w:tcPr>
                <w:p>
                  <w:pPr>
                    <w:jc w:val="center"/>
                    <w:rPr>
                      <w:szCs w:val="21"/>
                    </w:rPr>
                  </w:pPr>
                </w:p>
              </w:tc>
              <w:tc>
                <w:tcPr>
                  <w:tcW w:w="995" w:type="dxa"/>
                  <w:vAlign w:val="center"/>
                </w:tcPr>
                <w:p>
                  <w:pPr>
                    <w:jc w:val="center"/>
                    <w:rPr>
                      <w:szCs w:val="21"/>
                    </w:rPr>
                  </w:pPr>
                  <w:r>
                    <w:rPr>
                      <w:szCs w:val="21"/>
                    </w:rPr>
                    <w:t>总磷</w:t>
                  </w:r>
                </w:p>
              </w:tc>
              <w:tc>
                <w:tcPr>
                  <w:tcW w:w="953" w:type="dxa"/>
                  <w:vAlign w:val="center"/>
                </w:tcPr>
                <w:p>
                  <w:pPr>
                    <w:jc w:val="center"/>
                    <w:rPr>
                      <w:szCs w:val="21"/>
                    </w:rPr>
                  </w:pPr>
                  <w:r>
                    <w:rPr>
                      <w:szCs w:val="21"/>
                    </w:rPr>
                    <w:t>mg/L</w:t>
                  </w:r>
                </w:p>
              </w:tc>
              <w:tc>
                <w:tcPr>
                  <w:tcW w:w="1428" w:type="dxa"/>
                  <w:vAlign w:val="center"/>
                </w:tcPr>
                <w:p>
                  <w:pPr>
                    <w:jc w:val="center"/>
                    <w:rPr>
                      <w:szCs w:val="21"/>
                    </w:rPr>
                  </w:pPr>
                  <w:r>
                    <w:rPr>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3" w:type="dxa"/>
                  <w:vMerge w:val="continue"/>
                  <w:vAlign w:val="center"/>
                </w:tcPr>
                <w:p>
                  <w:pPr>
                    <w:jc w:val="center"/>
                    <w:rPr>
                      <w:szCs w:val="21"/>
                    </w:rPr>
                  </w:pPr>
                </w:p>
              </w:tc>
              <w:tc>
                <w:tcPr>
                  <w:tcW w:w="2660" w:type="dxa"/>
                  <w:vMerge w:val="continue"/>
                  <w:vAlign w:val="center"/>
                </w:tcPr>
                <w:p>
                  <w:pPr>
                    <w:jc w:val="center"/>
                    <w:rPr>
                      <w:szCs w:val="21"/>
                    </w:rPr>
                  </w:pPr>
                </w:p>
              </w:tc>
              <w:tc>
                <w:tcPr>
                  <w:tcW w:w="885" w:type="dxa"/>
                  <w:vMerge w:val="continue"/>
                  <w:vAlign w:val="center"/>
                </w:tcPr>
                <w:p>
                  <w:pPr>
                    <w:jc w:val="center"/>
                    <w:rPr>
                      <w:szCs w:val="21"/>
                    </w:rPr>
                  </w:pPr>
                </w:p>
              </w:tc>
              <w:tc>
                <w:tcPr>
                  <w:tcW w:w="995" w:type="dxa"/>
                  <w:vAlign w:val="center"/>
                </w:tcPr>
                <w:p>
                  <w:pPr>
                    <w:jc w:val="center"/>
                    <w:rPr>
                      <w:szCs w:val="21"/>
                    </w:rPr>
                  </w:pPr>
                  <w:r>
                    <w:rPr>
                      <w:szCs w:val="21"/>
                    </w:rPr>
                    <w:t>总氮</w:t>
                  </w:r>
                </w:p>
              </w:tc>
              <w:tc>
                <w:tcPr>
                  <w:tcW w:w="953" w:type="dxa"/>
                  <w:vAlign w:val="center"/>
                </w:tcPr>
                <w:p>
                  <w:pPr>
                    <w:jc w:val="center"/>
                    <w:rPr>
                      <w:szCs w:val="21"/>
                    </w:rPr>
                  </w:pPr>
                  <w:r>
                    <w:rPr>
                      <w:szCs w:val="21"/>
                    </w:rPr>
                    <w:t>mg/L</w:t>
                  </w:r>
                </w:p>
              </w:tc>
              <w:tc>
                <w:tcPr>
                  <w:tcW w:w="1428" w:type="dxa"/>
                  <w:vAlign w:val="center"/>
                </w:tcPr>
                <w:p>
                  <w:pPr>
                    <w:jc w:val="center"/>
                    <w:rPr>
                      <w:szCs w:val="21"/>
                    </w:rPr>
                  </w:pPr>
                  <w:r>
                    <w:rPr>
                      <w:szCs w:val="21"/>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jc w:val="center"/>
              </w:trPr>
              <w:tc>
                <w:tcPr>
                  <w:tcW w:w="1053" w:type="dxa"/>
                  <w:vMerge w:val="restart"/>
                  <w:vAlign w:val="center"/>
                </w:tcPr>
                <w:p>
                  <w:pPr>
                    <w:jc w:val="center"/>
                    <w:rPr>
                      <w:szCs w:val="21"/>
                    </w:rPr>
                  </w:pPr>
                  <w:r>
                    <w:rPr>
                      <w:rFonts w:hint="eastAsia"/>
                      <w:szCs w:val="21"/>
                      <w:lang w:eastAsia="zh-CN"/>
                    </w:rPr>
                    <w:t>武南</w:t>
                  </w:r>
                  <w:r>
                    <w:rPr>
                      <w:szCs w:val="21"/>
                    </w:rPr>
                    <w:t>污水处理厂排口</w:t>
                  </w:r>
                </w:p>
              </w:tc>
              <w:tc>
                <w:tcPr>
                  <w:tcW w:w="2660" w:type="dxa"/>
                  <w:vMerge w:val="restart"/>
                  <w:vAlign w:val="center"/>
                </w:tcPr>
                <w:p>
                  <w:pPr>
                    <w:pStyle w:val="27"/>
                    <w:jc w:val="center"/>
                    <w:rPr>
                      <w:rFonts w:cs="Times New Roman"/>
                      <w:szCs w:val="21"/>
                    </w:rPr>
                  </w:pPr>
                  <w:r>
                    <w:rPr>
                      <w:rFonts w:cs="Times New Roman"/>
                      <w:szCs w:val="21"/>
                    </w:rPr>
                    <w:t>《太湖地区城镇污水处理厂及重点工业行业水污染物排放限值》</w:t>
                  </w:r>
                </w:p>
                <w:p>
                  <w:pPr>
                    <w:jc w:val="center"/>
                    <w:rPr>
                      <w:szCs w:val="21"/>
                    </w:rPr>
                  </w:pPr>
                  <w:r>
                    <w:rPr>
                      <w:szCs w:val="21"/>
                    </w:rPr>
                    <w:t>(DB32/1072-2018)</w:t>
                  </w:r>
                </w:p>
              </w:tc>
              <w:tc>
                <w:tcPr>
                  <w:tcW w:w="885" w:type="dxa"/>
                  <w:vMerge w:val="restart"/>
                  <w:vAlign w:val="center"/>
                </w:tcPr>
                <w:p>
                  <w:pPr>
                    <w:jc w:val="center"/>
                    <w:rPr>
                      <w:szCs w:val="21"/>
                    </w:rPr>
                  </w:pPr>
                  <w:r>
                    <w:rPr>
                      <w:szCs w:val="21"/>
                    </w:rPr>
                    <w:t>表2</w:t>
                  </w:r>
                </w:p>
              </w:tc>
              <w:tc>
                <w:tcPr>
                  <w:tcW w:w="995" w:type="dxa"/>
                  <w:vAlign w:val="center"/>
                </w:tcPr>
                <w:p>
                  <w:pPr>
                    <w:pStyle w:val="27"/>
                    <w:adjustRightInd/>
                    <w:snapToGrid/>
                    <w:jc w:val="center"/>
                    <w:rPr>
                      <w:rFonts w:cs="Times New Roman"/>
                      <w:szCs w:val="21"/>
                    </w:rPr>
                  </w:pPr>
                  <w:r>
                    <w:rPr>
                      <w:rFonts w:cs="Times New Roman"/>
                      <w:szCs w:val="21"/>
                    </w:rPr>
                    <w:t>COD</w:t>
                  </w:r>
                </w:p>
              </w:tc>
              <w:tc>
                <w:tcPr>
                  <w:tcW w:w="953" w:type="dxa"/>
                  <w:vAlign w:val="center"/>
                </w:tcPr>
                <w:p>
                  <w:pPr>
                    <w:jc w:val="center"/>
                    <w:rPr>
                      <w:szCs w:val="21"/>
                    </w:rPr>
                  </w:pPr>
                  <w:r>
                    <w:rPr>
                      <w:szCs w:val="21"/>
                    </w:rPr>
                    <w:t>mg/L</w:t>
                  </w:r>
                </w:p>
              </w:tc>
              <w:tc>
                <w:tcPr>
                  <w:tcW w:w="1428" w:type="dxa"/>
                  <w:vAlign w:val="center"/>
                </w:tcPr>
                <w:p>
                  <w:pPr>
                    <w:jc w:val="center"/>
                    <w:rPr>
                      <w:szCs w:val="21"/>
                    </w:rPr>
                  </w:pPr>
                  <w:r>
                    <w:rPr>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jc w:val="center"/>
              </w:trPr>
              <w:tc>
                <w:tcPr>
                  <w:tcW w:w="1053" w:type="dxa"/>
                  <w:vMerge w:val="continue"/>
                  <w:vAlign w:val="center"/>
                </w:tcPr>
                <w:p>
                  <w:pPr>
                    <w:jc w:val="center"/>
                    <w:rPr>
                      <w:szCs w:val="21"/>
                    </w:rPr>
                  </w:pPr>
                </w:p>
              </w:tc>
              <w:tc>
                <w:tcPr>
                  <w:tcW w:w="2660" w:type="dxa"/>
                  <w:vMerge w:val="continue"/>
                  <w:vAlign w:val="center"/>
                </w:tcPr>
                <w:p>
                  <w:pPr>
                    <w:jc w:val="center"/>
                    <w:rPr>
                      <w:szCs w:val="21"/>
                    </w:rPr>
                  </w:pPr>
                </w:p>
              </w:tc>
              <w:tc>
                <w:tcPr>
                  <w:tcW w:w="885" w:type="dxa"/>
                  <w:vMerge w:val="continue"/>
                  <w:vAlign w:val="center"/>
                </w:tcPr>
                <w:p>
                  <w:pPr>
                    <w:jc w:val="center"/>
                    <w:rPr>
                      <w:szCs w:val="21"/>
                    </w:rPr>
                  </w:pPr>
                </w:p>
              </w:tc>
              <w:tc>
                <w:tcPr>
                  <w:tcW w:w="995" w:type="dxa"/>
                  <w:vAlign w:val="center"/>
                </w:tcPr>
                <w:p>
                  <w:pPr>
                    <w:pStyle w:val="27"/>
                    <w:adjustRightInd/>
                    <w:snapToGrid/>
                    <w:jc w:val="center"/>
                    <w:rPr>
                      <w:rFonts w:cs="Times New Roman"/>
                      <w:szCs w:val="21"/>
                    </w:rPr>
                  </w:pPr>
                  <w:r>
                    <w:rPr>
                      <w:rFonts w:cs="Times New Roman"/>
                      <w:szCs w:val="21"/>
                    </w:rPr>
                    <w:t>氨氮</w:t>
                  </w:r>
                </w:p>
              </w:tc>
              <w:tc>
                <w:tcPr>
                  <w:tcW w:w="953" w:type="dxa"/>
                  <w:vAlign w:val="center"/>
                </w:tcPr>
                <w:p>
                  <w:pPr>
                    <w:jc w:val="center"/>
                    <w:rPr>
                      <w:szCs w:val="21"/>
                    </w:rPr>
                  </w:pPr>
                  <w:r>
                    <w:rPr>
                      <w:szCs w:val="21"/>
                    </w:rPr>
                    <w:t>mg/L</w:t>
                  </w:r>
                </w:p>
              </w:tc>
              <w:tc>
                <w:tcPr>
                  <w:tcW w:w="1428" w:type="dxa"/>
                  <w:vAlign w:val="center"/>
                </w:tcPr>
                <w:p>
                  <w:pPr>
                    <w:jc w:val="center"/>
                    <w:rPr>
                      <w:szCs w:val="21"/>
                    </w:rPr>
                  </w:pPr>
                  <w:r>
                    <w:rPr>
                      <w:szCs w:val="21"/>
                    </w:rPr>
                    <w:t>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3" w:type="dxa"/>
                  <w:vMerge w:val="continue"/>
                  <w:vAlign w:val="center"/>
                </w:tcPr>
                <w:p>
                  <w:pPr>
                    <w:jc w:val="center"/>
                    <w:rPr>
                      <w:szCs w:val="21"/>
                    </w:rPr>
                  </w:pPr>
                </w:p>
              </w:tc>
              <w:tc>
                <w:tcPr>
                  <w:tcW w:w="2660" w:type="dxa"/>
                  <w:vMerge w:val="continue"/>
                  <w:vAlign w:val="center"/>
                </w:tcPr>
                <w:p>
                  <w:pPr>
                    <w:jc w:val="center"/>
                    <w:rPr>
                      <w:szCs w:val="21"/>
                    </w:rPr>
                  </w:pPr>
                </w:p>
              </w:tc>
              <w:tc>
                <w:tcPr>
                  <w:tcW w:w="885" w:type="dxa"/>
                  <w:vMerge w:val="continue"/>
                  <w:vAlign w:val="center"/>
                </w:tcPr>
                <w:p>
                  <w:pPr>
                    <w:jc w:val="center"/>
                    <w:rPr>
                      <w:szCs w:val="21"/>
                    </w:rPr>
                  </w:pPr>
                </w:p>
              </w:tc>
              <w:tc>
                <w:tcPr>
                  <w:tcW w:w="995" w:type="dxa"/>
                  <w:vAlign w:val="center"/>
                </w:tcPr>
                <w:p>
                  <w:pPr>
                    <w:pStyle w:val="27"/>
                    <w:adjustRightInd/>
                    <w:snapToGrid/>
                    <w:jc w:val="center"/>
                    <w:rPr>
                      <w:rFonts w:cs="Times New Roman"/>
                      <w:szCs w:val="21"/>
                    </w:rPr>
                  </w:pPr>
                  <w:r>
                    <w:rPr>
                      <w:rFonts w:cs="Times New Roman"/>
                      <w:szCs w:val="21"/>
                    </w:rPr>
                    <w:t>总磷</w:t>
                  </w:r>
                </w:p>
              </w:tc>
              <w:tc>
                <w:tcPr>
                  <w:tcW w:w="953" w:type="dxa"/>
                  <w:vAlign w:val="center"/>
                </w:tcPr>
                <w:p>
                  <w:pPr>
                    <w:jc w:val="center"/>
                    <w:rPr>
                      <w:szCs w:val="21"/>
                    </w:rPr>
                  </w:pPr>
                  <w:r>
                    <w:rPr>
                      <w:szCs w:val="21"/>
                    </w:rPr>
                    <w:t>mg/L</w:t>
                  </w:r>
                </w:p>
              </w:tc>
              <w:tc>
                <w:tcPr>
                  <w:tcW w:w="1428" w:type="dxa"/>
                  <w:vAlign w:val="center"/>
                </w:tcPr>
                <w:p>
                  <w:pPr>
                    <w:jc w:val="center"/>
                    <w:rPr>
                      <w:szCs w:val="21"/>
                    </w:rPr>
                  </w:pPr>
                  <w:r>
                    <w:rPr>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3" w:type="dxa"/>
                  <w:vMerge w:val="continue"/>
                  <w:vAlign w:val="center"/>
                </w:tcPr>
                <w:p>
                  <w:pPr>
                    <w:jc w:val="center"/>
                    <w:rPr>
                      <w:szCs w:val="21"/>
                    </w:rPr>
                  </w:pPr>
                </w:p>
              </w:tc>
              <w:tc>
                <w:tcPr>
                  <w:tcW w:w="2660" w:type="dxa"/>
                  <w:vMerge w:val="continue"/>
                  <w:vAlign w:val="center"/>
                </w:tcPr>
                <w:p>
                  <w:pPr>
                    <w:jc w:val="center"/>
                    <w:rPr>
                      <w:szCs w:val="21"/>
                    </w:rPr>
                  </w:pPr>
                </w:p>
              </w:tc>
              <w:tc>
                <w:tcPr>
                  <w:tcW w:w="885" w:type="dxa"/>
                  <w:vMerge w:val="continue"/>
                  <w:vAlign w:val="center"/>
                </w:tcPr>
                <w:p>
                  <w:pPr>
                    <w:jc w:val="center"/>
                    <w:rPr>
                      <w:szCs w:val="21"/>
                    </w:rPr>
                  </w:pPr>
                </w:p>
              </w:tc>
              <w:tc>
                <w:tcPr>
                  <w:tcW w:w="995" w:type="dxa"/>
                  <w:vAlign w:val="center"/>
                </w:tcPr>
                <w:p>
                  <w:pPr>
                    <w:pStyle w:val="27"/>
                    <w:adjustRightInd/>
                    <w:snapToGrid/>
                    <w:jc w:val="center"/>
                    <w:rPr>
                      <w:rFonts w:cs="Times New Roman"/>
                      <w:szCs w:val="21"/>
                    </w:rPr>
                  </w:pPr>
                  <w:r>
                    <w:rPr>
                      <w:rFonts w:cs="Times New Roman"/>
                      <w:szCs w:val="21"/>
                    </w:rPr>
                    <w:t>总氮</w:t>
                  </w:r>
                </w:p>
              </w:tc>
              <w:tc>
                <w:tcPr>
                  <w:tcW w:w="953" w:type="dxa"/>
                  <w:vAlign w:val="center"/>
                </w:tcPr>
                <w:p>
                  <w:pPr>
                    <w:jc w:val="center"/>
                    <w:rPr>
                      <w:szCs w:val="21"/>
                    </w:rPr>
                  </w:pPr>
                  <w:r>
                    <w:rPr>
                      <w:szCs w:val="21"/>
                    </w:rPr>
                    <w:t>mg/L</w:t>
                  </w:r>
                </w:p>
              </w:tc>
              <w:tc>
                <w:tcPr>
                  <w:tcW w:w="1428" w:type="dxa"/>
                  <w:vAlign w:val="center"/>
                </w:tcPr>
                <w:p>
                  <w:pPr>
                    <w:jc w:val="center"/>
                    <w:rPr>
                      <w:szCs w:val="21"/>
                    </w:rPr>
                  </w:pPr>
                  <w:r>
                    <w:rPr>
                      <w:szCs w:val="21"/>
                    </w:rPr>
                    <w:t>12（15）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3" w:type="dxa"/>
                  <w:vMerge w:val="continue"/>
                  <w:vAlign w:val="center"/>
                </w:tcPr>
                <w:p>
                  <w:pPr>
                    <w:jc w:val="center"/>
                    <w:rPr>
                      <w:szCs w:val="21"/>
                    </w:rPr>
                  </w:pPr>
                </w:p>
              </w:tc>
              <w:tc>
                <w:tcPr>
                  <w:tcW w:w="2660" w:type="dxa"/>
                  <w:vMerge w:val="restart"/>
                  <w:vAlign w:val="center"/>
                </w:tcPr>
                <w:p>
                  <w:pPr>
                    <w:pStyle w:val="27"/>
                    <w:adjustRightInd/>
                    <w:snapToGrid/>
                    <w:jc w:val="center"/>
                    <w:rPr>
                      <w:rFonts w:cs="Times New Roman"/>
                      <w:szCs w:val="21"/>
                    </w:rPr>
                  </w:pPr>
                  <w:r>
                    <w:rPr>
                      <w:rFonts w:cs="Times New Roman"/>
                      <w:szCs w:val="21"/>
                    </w:rPr>
                    <w:t>《城镇污水处理厂污染物排放标准》(GB18918-2002)</w:t>
                  </w:r>
                </w:p>
              </w:tc>
              <w:tc>
                <w:tcPr>
                  <w:tcW w:w="885" w:type="dxa"/>
                  <w:vMerge w:val="restart"/>
                  <w:vAlign w:val="center"/>
                </w:tcPr>
                <w:p>
                  <w:pPr>
                    <w:pStyle w:val="27"/>
                    <w:adjustRightInd/>
                    <w:snapToGrid/>
                    <w:jc w:val="center"/>
                    <w:rPr>
                      <w:rFonts w:cs="Times New Roman"/>
                      <w:szCs w:val="21"/>
                    </w:rPr>
                  </w:pPr>
                  <w:r>
                    <w:rPr>
                      <w:rFonts w:cs="Times New Roman"/>
                      <w:szCs w:val="21"/>
                    </w:rPr>
                    <w:t>一级A</w:t>
                  </w:r>
                </w:p>
              </w:tc>
              <w:tc>
                <w:tcPr>
                  <w:tcW w:w="995" w:type="dxa"/>
                  <w:vAlign w:val="center"/>
                </w:tcPr>
                <w:p>
                  <w:pPr>
                    <w:pStyle w:val="27"/>
                    <w:adjustRightInd/>
                    <w:snapToGrid/>
                    <w:jc w:val="center"/>
                    <w:rPr>
                      <w:rFonts w:cs="Times New Roman"/>
                      <w:szCs w:val="21"/>
                    </w:rPr>
                  </w:pPr>
                  <w:r>
                    <w:rPr>
                      <w:rFonts w:cs="Times New Roman"/>
                      <w:szCs w:val="21"/>
                    </w:rPr>
                    <w:t>pH</w:t>
                  </w:r>
                </w:p>
              </w:tc>
              <w:tc>
                <w:tcPr>
                  <w:tcW w:w="953" w:type="dxa"/>
                  <w:vAlign w:val="center"/>
                </w:tcPr>
                <w:p>
                  <w:pPr>
                    <w:jc w:val="center"/>
                    <w:rPr>
                      <w:szCs w:val="21"/>
                    </w:rPr>
                  </w:pPr>
                  <w:r>
                    <w:rPr>
                      <w:szCs w:val="21"/>
                    </w:rPr>
                    <w:t>无量纲</w:t>
                  </w:r>
                </w:p>
              </w:tc>
              <w:tc>
                <w:tcPr>
                  <w:tcW w:w="1428" w:type="dxa"/>
                  <w:vAlign w:val="center"/>
                </w:tcPr>
                <w:p>
                  <w:pPr>
                    <w:jc w:val="center"/>
                    <w:rPr>
                      <w:szCs w:val="21"/>
                    </w:rPr>
                  </w:pPr>
                  <w:r>
                    <w:rPr>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53" w:type="dxa"/>
                  <w:vMerge w:val="continue"/>
                  <w:vAlign w:val="center"/>
                </w:tcPr>
                <w:p>
                  <w:pPr>
                    <w:jc w:val="center"/>
                    <w:rPr>
                      <w:szCs w:val="21"/>
                    </w:rPr>
                  </w:pPr>
                </w:p>
              </w:tc>
              <w:tc>
                <w:tcPr>
                  <w:tcW w:w="2660" w:type="dxa"/>
                  <w:vMerge w:val="continue"/>
                  <w:vAlign w:val="center"/>
                </w:tcPr>
                <w:p>
                  <w:pPr>
                    <w:jc w:val="center"/>
                    <w:rPr>
                      <w:szCs w:val="21"/>
                    </w:rPr>
                  </w:pPr>
                </w:p>
              </w:tc>
              <w:tc>
                <w:tcPr>
                  <w:tcW w:w="885" w:type="dxa"/>
                  <w:vMerge w:val="continue"/>
                  <w:vAlign w:val="center"/>
                </w:tcPr>
                <w:p>
                  <w:pPr>
                    <w:jc w:val="center"/>
                    <w:rPr>
                      <w:szCs w:val="21"/>
                    </w:rPr>
                  </w:pPr>
                </w:p>
              </w:tc>
              <w:tc>
                <w:tcPr>
                  <w:tcW w:w="995" w:type="dxa"/>
                  <w:vAlign w:val="center"/>
                </w:tcPr>
                <w:p>
                  <w:pPr>
                    <w:pStyle w:val="27"/>
                    <w:adjustRightInd/>
                    <w:snapToGrid/>
                    <w:jc w:val="center"/>
                    <w:rPr>
                      <w:rFonts w:cs="Times New Roman"/>
                      <w:szCs w:val="21"/>
                    </w:rPr>
                  </w:pPr>
                  <w:r>
                    <w:rPr>
                      <w:rFonts w:cs="Times New Roman"/>
                      <w:szCs w:val="21"/>
                    </w:rPr>
                    <w:t>SS</w:t>
                  </w:r>
                </w:p>
              </w:tc>
              <w:tc>
                <w:tcPr>
                  <w:tcW w:w="953" w:type="dxa"/>
                  <w:vAlign w:val="center"/>
                </w:tcPr>
                <w:p>
                  <w:pPr>
                    <w:jc w:val="center"/>
                    <w:rPr>
                      <w:szCs w:val="21"/>
                    </w:rPr>
                  </w:pPr>
                  <w:r>
                    <w:rPr>
                      <w:szCs w:val="21"/>
                    </w:rPr>
                    <w:t>mg/L</w:t>
                  </w:r>
                </w:p>
              </w:tc>
              <w:tc>
                <w:tcPr>
                  <w:tcW w:w="1428" w:type="dxa"/>
                  <w:vAlign w:val="center"/>
                </w:tcPr>
                <w:p>
                  <w:pPr>
                    <w:jc w:val="center"/>
                    <w:rPr>
                      <w:szCs w:val="21"/>
                    </w:rPr>
                  </w:pPr>
                  <w:r>
                    <w:rPr>
                      <w:szCs w:val="21"/>
                    </w:rPr>
                    <w:t>10</w:t>
                  </w:r>
                </w:p>
              </w:tc>
            </w:tr>
          </w:tbl>
          <w:p>
            <w:pPr>
              <w:pStyle w:val="23"/>
              <w:spacing w:beforeLines="0" w:line="240" w:lineRule="auto"/>
              <w:ind w:firstLine="0" w:firstLineChars="0"/>
              <w:rPr>
                <w:b/>
                <w:bCs/>
                <w:sz w:val="21"/>
                <w:szCs w:val="21"/>
              </w:rPr>
            </w:pPr>
            <w:r>
              <w:rPr>
                <w:b/>
                <w:bCs/>
                <w:sz w:val="21"/>
                <w:szCs w:val="21"/>
              </w:rPr>
              <w:t>注：括号外数值为水温＞12℃时的控制指标，括号内数值为水温≤12℃时的控制指标。</w:t>
            </w:r>
          </w:p>
          <w:p>
            <w:pPr>
              <w:spacing w:line="360" w:lineRule="auto"/>
              <w:ind w:firstLine="420" w:firstLineChars="200"/>
              <w:rPr>
                <w:szCs w:val="21"/>
              </w:rPr>
            </w:pPr>
            <w:r>
              <w:rPr>
                <w:szCs w:val="21"/>
              </w:rPr>
              <w:t>2、大气污染物排放标准</w:t>
            </w:r>
          </w:p>
          <w:p>
            <w:pPr>
              <w:spacing w:line="360" w:lineRule="auto"/>
              <w:ind w:firstLine="420" w:firstLineChars="200"/>
              <w:rPr>
                <w:szCs w:val="21"/>
              </w:rPr>
            </w:pPr>
            <w:r>
              <w:rPr>
                <w:szCs w:val="21"/>
              </w:rPr>
              <w:t>本项</w:t>
            </w:r>
            <w:r>
              <w:rPr>
                <w:rFonts w:hint="eastAsia"/>
                <w:szCs w:val="21"/>
                <w:lang w:val="en-US" w:eastAsia="zh-CN"/>
              </w:rPr>
              <w:t>吹塑、制袋、烫袋</w:t>
            </w:r>
            <w:r>
              <w:rPr>
                <w:rFonts w:hint="eastAsia"/>
                <w:szCs w:val="21"/>
              </w:rPr>
              <w:t>过程</w:t>
            </w:r>
            <w:r>
              <w:rPr>
                <w:szCs w:val="21"/>
              </w:rPr>
              <w:t>中产生的非甲烷总烃执行《合成树脂工业污染物排放标准》（GB31572-2015）表5、表9排放标准</w:t>
            </w:r>
            <w:r>
              <w:rPr>
                <w:rFonts w:hint="eastAsia"/>
              </w:rPr>
              <w:t>，</w:t>
            </w:r>
            <w:r>
              <w:rPr>
                <w:szCs w:val="21"/>
              </w:rPr>
              <w:t>具体标准限值见表3-1</w:t>
            </w:r>
            <w:r>
              <w:rPr>
                <w:rFonts w:hint="eastAsia"/>
                <w:szCs w:val="21"/>
              </w:rPr>
              <w:t>4</w:t>
            </w:r>
            <w:r>
              <w:rPr>
                <w:szCs w:val="21"/>
              </w:rPr>
              <w:t>。</w:t>
            </w:r>
          </w:p>
          <w:p>
            <w:pPr>
              <w:spacing w:line="360" w:lineRule="auto"/>
              <w:jc w:val="center"/>
              <w:rPr>
                <w:b/>
                <w:bCs/>
                <w:szCs w:val="21"/>
              </w:rPr>
            </w:pPr>
            <w:r>
              <w:rPr>
                <w:b/>
                <w:bCs/>
                <w:szCs w:val="21"/>
              </w:rPr>
              <w:t>表3-1</w:t>
            </w:r>
            <w:r>
              <w:rPr>
                <w:rFonts w:hint="eastAsia"/>
                <w:b/>
                <w:bCs/>
                <w:szCs w:val="21"/>
              </w:rPr>
              <w:t>4</w:t>
            </w:r>
            <w:r>
              <w:rPr>
                <w:b/>
                <w:bCs/>
                <w:szCs w:val="21"/>
              </w:rPr>
              <w:t xml:space="preserve">  大气污染物排放标准</w:t>
            </w:r>
          </w:p>
          <w:tbl>
            <w:tblPr>
              <w:tblStyle w:val="21"/>
              <w:tblW w:w="797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993"/>
              <w:gridCol w:w="1993"/>
              <w:gridCol w:w="19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1993" w:type="dxa"/>
                  <w:vAlign w:val="center"/>
                </w:tcPr>
                <w:p>
                  <w:pPr>
                    <w:jc w:val="center"/>
                    <w:rPr>
                      <w:rFonts w:ascii="Times New Roman" w:hAnsi="Times New Roman" w:cs="Times New Roman"/>
                      <w:b/>
                      <w:bCs/>
                      <w:szCs w:val="21"/>
                    </w:rPr>
                  </w:pPr>
                  <w:r>
                    <w:rPr>
                      <w:rFonts w:ascii="Times New Roman" w:hAnsi="Times New Roman" w:cs="Times New Roman"/>
                      <w:b/>
                      <w:bCs/>
                      <w:szCs w:val="21"/>
                    </w:rPr>
                    <w:t>污染物项目</w:t>
                  </w:r>
                </w:p>
              </w:tc>
              <w:tc>
                <w:tcPr>
                  <w:tcW w:w="1993" w:type="dxa"/>
                  <w:vAlign w:val="center"/>
                </w:tcPr>
                <w:p>
                  <w:pPr>
                    <w:jc w:val="center"/>
                    <w:rPr>
                      <w:rFonts w:ascii="Times New Roman" w:hAnsi="Times New Roman" w:cs="Times New Roman"/>
                      <w:b/>
                      <w:bCs/>
                      <w:szCs w:val="21"/>
                    </w:rPr>
                  </w:pPr>
                  <w:r>
                    <w:rPr>
                      <w:rFonts w:ascii="Times New Roman" w:hAnsi="Times New Roman" w:cs="Times New Roman"/>
                      <w:b/>
                      <w:bCs/>
                      <w:szCs w:val="21"/>
                    </w:rPr>
                    <w:t>最高允许排放浓度（mg/m</w:t>
                  </w:r>
                  <w:r>
                    <w:rPr>
                      <w:rFonts w:ascii="Times New Roman" w:hAnsi="Times New Roman" w:cs="Times New Roman"/>
                      <w:b/>
                      <w:bCs/>
                      <w:szCs w:val="21"/>
                      <w:vertAlign w:val="superscript"/>
                    </w:rPr>
                    <w:t>3</w:t>
                  </w:r>
                  <w:r>
                    <w:rPr>
                      <w:rFonts w:ascii="Times New Roman" w:hAnsi="Times New Roman" w:cs="Times New Roman"/>
                      <w:b/>
                      <w:bCs/>
                      <w:szCs w:val="21"/>
                    </w:rPr>
                    <w:t>）</w:t>
                  </w:r>
                </w:p>
              </w:tc>
              <w:tc>
                <w:tcPr>
                  <w:tcW w:w="1993" w:type="dxa"/>
                  <w:tcMar>
                    <w:left w:w="0" w:type="dxa"/>
                    <w:right w:w="0" w:type="dxa"/>
                  </w:tcMar>
                  <w:vAlign w:val="center"/>
                </w:tcPr>
                <w:p>
                  <w:pPr>
                    <w:jc w:val="center"/>
                    <w:rPr>
                      <w:rFonts w:ascii="Times New Roman" w:hAnsi="Times New Roman" w:cs="Times New Roman"/>
                      <w:b/>
                      <w:bCs/>
                      <w:szCs w:val="21"/>
                    </w:rPr>
                  </w:pPr>
                  <w:r>
                    <w:rPr>
                      <w:rFonts w:ascii="Times New Roman" w:hAnsi="Times New Roman" w:cs="Times New Roman"/>
                      <w:b/>
                      <w:bCs/>
                      <w:szCs w:val="21"/>
                    </w:rPr>
                    <w:t>污染物排放监控位置</w:t>
                  </w:r>
                </w:p>
              </w:tc>
              <w:tc>
                <w:tcPr>
                  <w:tcW w:w="1995" w:type="dxa"/>
                  <w:vAlign w:val="center"/>
                </w:tcPr>
                <w:p>
                  <w:pPr>
                    <w:jc w:val="center"/>
                    <w:rPr>
                      <w:rFonts w:ascii="Times New Roman" w:hAnsi="Times New Roman" w:cs="Times New Roman"/>
                      <w:b/>
                      <w:bCs/>
                      <w:szCs w:val="21"/>
                    </w:rPr>
                  </w:pPr>
                  <w:r>
                    <w:rPr>
                      <w:rFonts w:ascii="Times New Roman" w:hAnsi="Times New Roman" w:cs="Times New Roman"/>
                      <w:b/>
                      <w:bCs/>
                      <w:szCs w:val="21"/>
                    </w:rPr>
                    <w:t>无组织排放监控浓度限值（mg/Nm</w:t>
                  </w:r>
                  <w:r>
                    <w:rPr>
                      <w:rFonts w:ascii="Times New Roman" w:hAnsi="Times New Roman" w:cs="Times New Roman"/>
                      <w:b/>
                      <w:bCs/>
                      <w:szCs w:val="21"/>
                      <w:vertAlign w:val="superscript"/>
                    </w:rPr>
                    <w:t>3</w:t>
                  </w:r>
                  <w:r>
                    <w:rPr>
                      <w:rFonts w:ascii="Times New Roman" w:hAnsi="Times New Roman" w:cs="Times New Roman"/>
                      <w:b/>
                      <w:bCs/>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1993" w:type="dxa"/>
                  <w:vAlign w:val="center"/>
                </w:tcPr>
                <w:p>
                  <w:pPr>
                    <w:pStyle w:val="54"/>
                    <w:ind w:firstLine="0" w:firstLineChars="0"/>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非甲烷总烃</w:t>
                  </w:r>
                </w:p>
              </w:tc>
              <w:tc>
                <w:tcPr>
                  <w:tcW w:w="1993" w:type="dxa"/>
                  <w:vAlign w:val="center"/>
                </w:tcPr>
                <w:p>
                  <w:pPr>
                    <w:pStyle w:val="54"/>
                    <w:ind w:firstLine="0" w:firstLineChars="0"/>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60</w:t>
                  </w:r>
                </w:p>
              </w:tc>
              <w:tc>
                <w:tcPr>
                  <w:tcW w:w="1993" w:type="dxa"/>
                  <w:tcMar>
                    <w:top w:w="0" w:type="dxa"/>
                    <w:left w:w="0" w:type="dxa"/>
                    <w:bottom w:w="0" w:type="dxa"/>
                    <w:right w:w="0" w:type="dxa"/>
                  </w:tcMar>
                  <w:vAlign w:val="center"/>
                </w:tcPr>
                <w:p>
                  <w:pPr>
                    <w:widowControl/>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车间或生产设施排气筒</w:t>
                  </w:r>
                </w:p>
              </w:tc>
              <w:tc>
                <w:tcPr>
                  <w:tcW w:w="1995" w:type="dxa"/>
                  <w:vAlign w:val="center"/>
                </w:tcPr>
                <w:p>
                  <w:pPr>
                    <w:pStyle w:val="54"/>
                    <w:ind w:firstLine="0" w:firstLineChars="0"/>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3986" w:type="dxa"/>
                  <w:gridSpan w:val="2"/>
                  <w:vAlign w:val="center"/>
                </w:tcPr>
                <w:p>
                  <w:pPr>
                    <w:pStyle w:val="54"/>
                    <w:ind w:firstLine="0" w:firstLineChars="0"/>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单位产品非甲烷总烃排放量（kg/t产品）</w:t>
                  </w:r>
                </w:p>
              </w:tc>
              <w:tc>
                <w:tcPr>
                  <w:tcW w:w="1993" w:type="dxa"/>
                  <w:tcMar>
                    <w:top w:w="0" w:type="dxa"/>
                    <w:left w:w="0" w:type="dxa"/>
                    <w:bottom w:w="0" w:type="dxa"/>
                    <w:right w:w="0" w:type="dxa"/>
                  </w:tcMar>
                  <w:vAlign w:val="center"/>
                </w:tcPr>
                <w:p>
                  <w:pPr>
                    <w:pStyle w:val="54"/>
                    <w:ind w:firstLine="0" w:firstLineChars="0"/>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0.3</w:t>
                  </w:r>
                </w:p>
              </w:tc>
              <w:tc>
                <w:tcPr>
                  <w:tcW w:w="1995" w:type="dxa"/>
                  <w:vAlign w:val="center"/>
                </w:tcPr>
                <w:p>
                  <w:pPr>
                    <w:pStyle w:val="54"/>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所有合成树脂（有机硅树脂除外）</w:t>
                  </w:r>
                </w:p>
              </w:tc>
            </w:tr>
          </w:tbl>
          <w:p>
            <w:pPr>
              <w:spacing w:line="360" w:lineRule="auto"/>
              <w:ind w:firstLine="420" w:firstLineChars="200"/>
              <w:rPr>
                <w:szCs w:val="21"/>
              </w:rPr>
            </w:pPr>
            <w:r>
              <w:rPr>
                <w:szCs w:val="21"/>
              </w:rPr>
              <w:t>企业厂区内</w:t>
            </w:r>
            <w:r>
              <w:rPr>
                <w:rFonts w:hint="eastAsia"/>
                <w:szCs w:val="21"/>
              </w:rPr>
              <w:t>挥发性有机物</w:t>
            </w:r>
            <w:r>
              <w:rPr>
                <w:szCs w:val="21"/>
              </w:rPr>
              <w:t>无组织排放监控点浓度执行《大气污染物综合排放标准》（DB32/4041-2021）表2</w:t>
            </w:r>
            <w:r>
              <w:rPr>
                <w:rFonts w:hint="eastAsia"/>
                <w:szCs w:val="21"/>
              </w:rPr>
              <w:t>标准</w:t>
            </w:r>
            <w:r>
              <w:rPr>
                <w:szCs w:val="21"/>
              </w:rPr>
              <w:t>，具体标准见表</w:t>
            </w:r>
            <w:r>
              <w:rPr>
                <w:rFonts w:hint="eastAsia"/>
                <w:szCs w:val="21"/>
              </w:rPr>
              <w:t>3-15</w:t>
            </w:r>
            <w:r>
              <w:rPr>
                <w:szCs w:val="21"/>
              </w:rPr>
              <w:t>。</w:t>
            </w:r>
          </w:p>
          <w:p>
            <w:pPr>
              <w:spacing w:line="360" w:lineRule="auto"/>
              <w:jc w:val="center"/>
              <w:rPr>
                <w:b/>
                <w:bCs/>
                <w:szCs w:val="21"/>
              </w:rPr>
            </w:pPr>
            <w:r>
              <w:rPr>
                <w:b/>
                <w:bCs/>
                <w:szCs w:val="21"/>
              </w:rPr>
              <w:t>表</w:t>
            </w:r>
            <w:r>
              <w:rPr>
                <w:rFonts w:hint="eastAsia"/>
                <w:b/>
                <w:bCs/>
                <w:szCs w:val="21"/>
              </w:rPr>
              <w:t>3-15</w:t>
            </w:r>
            <w:r>
              <w:rPr>
                <w:b/>
                <w:bCs/>
                <w:szCs w:val="21"/>
              </w:rPr>
              <w:t xml:space="preserve">  厂区内VOC</w:t>
            </w:r>
            <w:r>
              <w:rPr>
                <w:b/>
                <w:bCs/>
                <w:szCs w:val="21"/>
                <w:vertAlign w:val="subscript"/>
              </w:rPr>
              <w:t>S</w:t>
            </w:r>
            <w:r>
              <w:rPr>
                <w:b/>
                <w:bCs/>
                <w:szCs w:val="21"/>
              </w:rPr>
              <w:t>无组织排放限值（mg/m</w:t>
            </w:r>
            <w:r>
              <w:rPr>
                <w:b/>
                <w:bCs/>
                <w:szCs w:val="21"/>
                <w:vertAlign w:val="superscript"/>
              </w:rPr>
              <w:t>3</w:t>
            </w:r>
            <w:r>
              <w:rPr>
                <w:b/>
                <w:bCs/>
                <w:szCs w:val="21"/>
              </w:rPr>
              <w:t>）</w:t>
            </w:r>
          </w:p>
          <w:tbl>
            <w:tblPr>
              <w:tblStyle w:val="21"/>
              <w:tblW w:w="7974"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819"/>
              <w:gridCol w:w="885"/>
              <w:gridCol w:w="2370"/>
              <w:gridCol w:w="9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9" w:type="dxa"/>
                  <w:vAlign w:val="center"/>
                </w:tcPr>
                <w:p>
                  <w:pPr>
                    <w:spacing w:line="320" w:lineRule="exact"/>
                    <w:jc w:val="center"/>
                    <w:rPr>
                      <w:b/>
                      <w:szCs w:val="21"/>
                    </w:rPr>
                  </w:pPr>
                  <w:r>
                    <w:rPr>
                      <w:b/>
                      <w:szCs w:val="21"/>
                    </w:rPr>
                    <w:t>污染物项目</w:t>
                  </w:r>
                </w:p>
              </w:tc>
              <w:tc>
                <w:tcPr>
                  <w:tcW w:w="2819" w:type="dxa"/>
                  <w:vAlign w:val="center"/>
                </w:tcPr>
                <w:p>
                  <w:pPr>
                    <w:spacing w:line="320" w:lineRule="exact"/>
                    <w:jc w:val="center"/>
                    <w:rPr>
                      <w:b/>
                      <w:szCs w:val="21"/>
                    </w:rPr>
                  </w:pPr>
                  <w:r>
                    <w:rPr>
                      <w:b/>
                      <w:szCs w:val="21"/>
                    </w:rPr>
                    <w:t>执行标准</w:t>
                  </w:r>
                </w:p>
              </w:tc>
              <w:tc>
                <w:tcPr>
                  <w:tcW w:w="885" w:type="dxa"/>
                  <w:vAlign w:val="center"/>
                </w:tcPr>
                <w:p>
                  <w:pPr>
                    <w:spacing w:line="320" w:lineRule="exact"/>
                    <w:jc w:val="center"/>
                    <w:rPr>
                      <w:b/>
                      <w:szCs w:val="21"/>
                    </w:rPr>
                  </w:pPr>
                  <w:r>
                    <w:rPr>
                      <w:b/>
                      <w:szCs w:val="21"/>
                    </w:rPr>
                    <w:t>监控点限值</w:t>
                  </w:r>
                </w:p>
              </w:tc>
              <w:tc>
                <w:tcPr>
                  <w:tcW w:w="2370" w:type="dxa"/>
                  <w:vAlign w:val="center"/>
                </w:tcPr>
                <w:p>
                  <w:pPr>
                    <w:spacing w:line="320" w:lineRule="exact"/>
                    <w:jc w:val="center"/>
                    <w:rPr>
                      <w:b/>
                      <w:szCs w:val="21"/>
                    </w:rPr>
                  </w:pPr>
                  <w:r>
                    <w:rPr>
                      <w:b/>
                      <w:szCs w:val="21"/>
                    </w:rPr>
                    <w:t>限值含义</w:t>
                  </w:r>
                </w:p>
              </w:tc>
              <w:tc>
                <w:tcPr>
                  <w:tcW w:w="971" w:type="dxa"/>
                  <w:vAlign w:val="center"/>
                </w:tcPr>
                <w:p>
                  <w:pPr>
                    <w:spacing w:line="320" w:lineRule="exact"/>
                    <w:jc w:val="center"/>
                    <w:rPr>
                      <w:b/>
                      <w:szCs w:val="21"/>
                    </w:rPr>
                  </w:pPr>
                  <w:r>
                    <w:rPr>
                      <w:rFonts w:hint="eastAsia"/>
                      <w:b/>
                      <w:szCs w:val="21"/>
                    </w:rPr>
                    <w:t>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9" w:type="dxa"/>
                  <w:vMerge w:val="restart"/>
                  <w:vAlign w:val="center"/>
                </w:tcPr>
                <w:p>
                  <w:pPr>
                    <w:spacing w:line="320" w:lineRule="exact"/>
                    <w:jc w:val="center"/>
                    <w:rPr>
                      <w:szCs w:val="21"/>
                    </w:rPr>
                  </w:pPr>
                  <w:r>
                    <w:rPr>
                      <w:szCs w:val="21"/>
                    </w:rPr>
                    <w:t>非甲烷总烃</w:t>
                  </w:r>
                </w:p>
              </w:tc>
              <w:tc>
                <w:tcPr>
                  <w:tcW w:w="2819" w:type="dxa"/>
                  <w:vMerge w:val="restart"/>
                  <w:vAlign w:val="center"/>
                </w:tcPr>
                <w:p>
                  <w:pPr>
                    <w:spacing w:line="320" w:lineRule="exact"/>
                    <w:jc w:val="center"/>
                    <w:rPr>
                      <w:szCs w:val="21"/>
                    </w:rPr>
                  </w:pPr>
                  <w:r>
                    <w:rPr>
                      <w:szCs w:val="21"/>
                    </w:rPr>
                    <w:t>《大气污染物综合排放标准》（DB32/4041-2021）表2</w:t>
                  </w:r>
                </w:p>
              </w:tc>
              <w:tc>
                <w:tcPr>
                  <w:tcW w:w="885" w:type="dxa"/>
                  <w:vAlign w:val="center"/>
                </w:tcPr>
                <w:p>
                  <w:pPr>
                    <w:spacing w:line="320" w:lineRule="exact"/>
                    <w:jc w:val="center"/>
                    <w:rPr>
                      <w:szCs w:val="21"/>
                    </w:rPr>
                  </w:pPr>
                  <w:r>
                    <w:rPr>
                      <w:szCs w:val="21"/>
                    </w:rPr>
                    <w:t>6</w:t>
                  </w:r>
                </w:p>
              </w:tc>
              <w:tc>
                <w:tcPr>
                  <w:tcW w:w="2370" w:type="dxa"/>
                  <w:vAlign w:val="center"/>
                </w:tcPr>
                <w:p>
                  <w:pPr>
                    <w:spacing w:line="320" w:lineRule="exact"/>
                    <w:jc w:val="center"/>
                    <w:rPr>
                      <w:szCs w:val="21"/>
                    </w:rPr>
                  </w:pPr>
                  <w:r>
                    <w:rPr>
                      <w:szCs w:val="21"/>
                    </w:rPr>
                    <w:t>监控点处1h平均浓度值</w:t>
                  </w:r>
                </w:p>
              </w:tc>
              <w:tc>
                <w:tcPr>
                  <w:tcW w:w="971" w:type="dxa"/>
                  <w:vMerge w:val="restart"/>
                  <w:vAlign w:val="center"/>
                </w:tcPr>
                <w:p>
                  <w:pPr>
                    <w:spacing w:line="320" w:lineRule="exact"/>
                    <w:jc w:val="center"/>
                    <w:rPr>
                      <w:szCs w:val="21"/>
                    </w:rPr>
                  </w:pPr>
                  <w:r>
                    <w:rPr>
                      <w:rFonts w:hint="eastAsia"/>
                      <w:szCs w:val="21"/>
                    </w:rPr>
                    <w:t>厂房外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29" w:type="dxa"/>
                  <w:vMerge w:val="continue"/>
                  <w:vAlign w:val="center"/>
                </w:tcPr>
                <w:p>
                  <w:pPr>
                    <w:pStyle w:val="8"/>
                    <w:widowControl w:val="0"/>
                    <w:snapToGrid/>
                    <w:spacing w:before="0" w:after="0" w:line="320" w:lineRule="exact"/>
                    <w:ind w:right="0"/>
                    <w:jc w:val="center"/>
                    <w:rPr>
                      <w:sz w:val="21"/>
                      <w:szCs w:val="21"/>
                    </w:rPr>
                  </w:pPr>
                </w:p>
              </w:tc>
              <w:tc>
                <w:tcPr>
                  <w:tcW w:w="2819" w:type="dxa"/>
                  <w:vMerge w:val="continue"/>
                  <w:vAlign w:val="center"/>
                </w:tcPr>
                <w:p>
                  <w:pPr>
                    <w:spacing w:line="320" w:lineRule="exact"/>
                    <w:jc w:val="center"/>
                    <w:rPr>
                      <w:szCs w:val="21"/>
                    </w:rPr>
                  </w:pPr>
                </w:p>
              </w:tc>
              <w:tc>
                <w:tcPr>
                  <w:tcW w:w="885" w:type="dxa"/>
                  <w:vAlign w:val="center"/>
                </w:tcPr>
                <w:p>
                  <w:pPr>
                    <w:spacing w:line="320" w:lineRule="exact"/>
                    <w:jc w:val="center"/>
                    <w:rPr>
                      <w:szCs w:val="21"/>
                    </w:rPr>
                  </w:pPr>
                  <w:r>
                    <w:rPr>
                      <w:szCs w:val="21"/>
                    </w:rPr>
                    <w:t>20</w:t>
                  </w:r>
                </w:p>
              </w:tc>
              <w:tc>
                <w:tcPr>
                  <w:tcW w:w="2370" w:type="dxa"/>
                  <w:vAlign w:val="center"/>
                </w:tcPr>
                <w:p>
                  <w:pPr>
                    <w:spacing w:line="320" w:lineRule="exact"/>
                    <w:jc w:val="center"/>
                    <w:rPr>
                      <w:szCs w:val="21"/>
                    </w:rPr>
                  </w:pPr>
                  <w:r>
                    <w:rPr>
                      <w:szCs w:val="21"/>
                    </w:rPr>
                    <w:t>监控点任意一次浓度值</w:t>
                  </w:r>
                </w:p>
              </w:tc>
              <w:tc>
                <w:tcPr>
                  <w:tcW w:w="971" w:type="dxa"/>
                  <w:vMerge w:val="continue"/>
                  <w:vAlign w:val="center"/>
                </w:tcPr>
                <w:p>
                  <w:pPr>
                    <w:spacing w:line="320" w:lineRule="exact"/>
                    <w:jc w:val="center"/>
                    <w:rPr>
                      <w:szCs w:val="21"/>
                    </w:rPr>
                  </w:pPr>
                </w:p>
              </w:tc>
            </w:tr>
          </w:tbl>
          <w:p>
            <w:pPr>
              <w:spacing w:line="360" w:lineRule="auto"/>
              <w:ind w:firstLine="420" w:firstLineChars="200"/>
              <w:rPr>
                <w:szCs w:val="21"/>
              </w:rPr>
            </w:pPr>
          </w:p>
          <w:p>
            <w:pPr>
              <w:spacing w:line="360" w:lineRule="auto"/>
              <w:ind w:firstLine="420" w:firstLineChars="200"/>
              <w:rPr>
                <w:szCs w:val="21"/>
              </w:rPr>
            </w:pPr>
            <w:r>
              <w:rPr>
                <w:szCs w:val="21"/>
              </w:rPr>
              <w:t>3、噪声排放标准</w:t>
            </w:r>
          </w:p>
          <w:p>
            <w:pPr>
              <w:spacing w:line="360" w:lineRule="auto"/>
              <w:ind w:firstLine="420" w:firstLineChars="200"/>
              <w:rPr>
                <w:szCs w:val="21"/>
              </w:rPr>
            </w:pPr>
            <w:r>
              <w:rPr>
                <w:szCs w:val="21"/>
              </w:rPr>
              <w:t>本项目厂界噪声执行《工业企业厂界环境噪声排放标准》（GB12348-2008）中</w:t>
            </w:r>
            <w:r>
              <w:rPr>
                <w:rFonts w:hint="eastAsia"/>
                <w:szCs w:val="21"/>
              </w:rPr>
              <w:t>3</w:t>
            </w:r>
            <w:r>
              <w:rPr>
                <w:szCs w:val="21"/>
              </w:rPr>
              <w:t>类标准，标准值见下表：</w:t>
            </w:r>
          </w:p>
          <w:p>
            <w:pPr>
              <w:spacing w:line="360" w:lineRule="auto"/>
              <w:jc w:val="center"/>
              <w:rPr>
                <w:b/>
                <w:bCs/>
                <w:szCs w:val="21"/>
              </w:rPr>
            </w:pPr>
            <w:r>
              <w:rPr>
                <w:b/>
                <w:bCs/>
                <w:szCs w:val="21"/>
              </w:rPr>
              <w:t>表3-1</w:t>
            </w:r>
            <w:r>
              <w:rPr>
                <w:rFonts w:hint="eastAsia"/>
                <w:b/>
                <w:bCs/>
                <w:szCs w:val="21"/>
              </w:rPr>
              <w:t>6</w:t>
            </w:r>
            <w:r>
              <w:rPr>
                <w:b/>
                <w:bCs/>
                <w:szCs w:val="21"/>
              </w:rPr>
              <w:t xml:space="preserve">   噪声排放标准限值</w:t>
            </w:r>
          </w:p>
          <w:tbl>
            <w:tblPr>
              <w:tblStyle w:val="21"/>
              <w:tblW w:w="797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3141"/>
              <w:gridCol w:w="1177"/>
              <w:gridCol w:w="1092"/>
              <w:gridCol w:w="11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82" w:type="dxa"/>
                  <w:vMerge w:val="restart"/>
                  <w:vAlign w:val="center"/>
                </w:tcPr>
                <w:p>
                  <w:pPr>
                    <w:jc w:val="center"/>
                    <w:rPr>
                      <w:b/>
                      <w:bCs/>
                    </w:rPr>
                  </w:pPr>
                  <w:r>
                    <w:rPr>
                      <w:b/>
                      <w:bCs/>
                    </w:rPr>
                    <w:t>厂界名</w:t>
                  </w:r>
                </w:p>
              </w:tc>
              <w:tc>
                <w:tcPr>
                  <w:tcW w:w="3141" w:type="dxa"/>
                  <w:vMerge w:val="restart"/>
                  <w:vAlign w:val="center"/>
                </w:tcPr>
                <w:p>
                  <w:pPr>
                    <w:jc w:val="center"/>
                    <w:rPr>
                      <w:b/>
                      <w:bCs/>
                    </w:rPr>
                  </w:pPr>
                  <w:r>
                    <w:rPr>
                      <w:b/>
                      <w:bCs/>
                    </w:rPr>
                    <w:t>执行标准</w:t>
                  </w:r>
                </w:p>
              </w:tc>
              <w:tc>
                <w:tcPr>
                  <w:tcW w:w="1177" w:type="dxa"/>
                  <w:vMerge w:val="restart"/>
                  <w:vAlign w:val="center"/>
                </w:tcPr>
                <w:p>
                  <w:pPr>
                    <w:jc w:val="center"/>
                    <w:rPr>
                      <w:b/>
                      <w:bCs/>
                    </w:rPr>
                  </w:pPr>
                  <w:r>
                    <w:rPr>
                      <w:b/>
                      <w:bCs/>
                    </w:rPr>
                    <w:t>级别</w:t>
                  </w:r>
                </w:p>
              </w:tc>
              <w:tc>
                <w:tcPr>
                  <w:tcW w:w="1092" w:type="dxa"/>
                  <w:vMerge w:val="restart"/>
                  <w:vAlign w:val="center"/>
                </w:tcPr>
                <w:p>
                  <w:pPr>
                    <w:jc w:val="center"/>
                    <w:rPr>
                      <w:b/>
                      <w:bCs/>
                    </w:rPr>
                  </w:pPr>
                  <w:r>
                    <w:rPr>
                      <w:b/>
                      <w:bCs/>
                    </w:rPr>
                    <w:t>单位</w:t>
                  </w:r>
                </w:p>
              </w:tc>
              <w:tc>
                <w:tcPr>
                  <w:tcW w:w="1182" w:type="dxa"/>
                  <w:vAlign w:val="center"/>
                </w:tcPr>
                <w:p>
                  <w:pPr>
                    <w:jc w:val="center"/>
                    <w:rPr>
                      <w:b/>
                      <w:bCs/>
                    </w:rPr>
                  </w:pPr>
                  <w:r>
                    <w:rPr>
                      <w:b/>
                      <w:bCs/>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1382" w:type="dxa"/>
                  <w:vMerge w:val="continue"/>
                  <w:vAlign w:val="center"/>
                </w:tcPr>
                <w:p>
                  <w:pPr>
                    <w:jc w:val="center"/>
                    <w:rPr>
                      <w:b/>
                      <w:bCs/>
                    </w:rPr>
                  </w:pPr>
                </w:p>
              </w:tc>
              <w:tc>
                <w:tcPr>
                  <w:tcW w:w="3141" w:type="dxa"/>
                  <w:vMerge w:val="continue"/>
                  <w:vAlign w:val="center"/>
                </w:tcPr>
                <w:p>
                  <w:pPr>
                    <w:jc w:val="center"/>
                    <w:rPr>
                      <w:b/>
                      <w:bCs/>
                    </w:rPr>
                  </w:pPr>
                </w:p>
              </w:tc>
              <w:tc>
                <w:tcPr>
                  <w:tcW w:w="1177" w:type="dxa"/>
                  <w:vMerge w:val="continue"/>
                  <w:vAlign w:val="center"/>
                </w:tcPr>
                <w:p>
                  <w:pPr>
                    <w:jc w:val="center"/>
                    <w:rPr>
                      <w:b/>
                      <w:bCs/>
                    </w:rPr>
                  </w:pPr>
                </w:p>
              </w:tc>
              <w:tc>
                <w:tcPr>
                  <w:tcW w:w="1092" w:type="dxa"/>
                  <w:vMerge w:val="continue"/>
                  <w:vAlign w:val="center"/>
                </w:tcPr>
                <w:p>
                  <w:pPr>
                    <w:jc w:val="center"/>
                    <w:rPr>
                      <w:b/>
                      <w:bCs/>
                    </w:rPr>
                  </w:pPr>
                </w:p>
              </w:tc>
              <w:tc>
                <w:tcPr>
                  <w:tcW w:w="1182" w:type="dxa"/>
                  <w:vAlign w:val="center"/>
                </w:tcPr>
                <w:p>
                  <w:pPr>
                    <w:jc w:val="center"/>
                    <w:rPr>
                      <w:b/>
                      <w:bCs/>
                    </w:rPr>
                  </w:pPr>
                  <w:r>
                    <w:rPr>
                      <w:b/>
                      <w:bCs/>
                    </w:rPr>
                    <w:t>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382" w:type="dxa"/>
                  <w:vAlign w:val="center"/>
                </w:tcPr>
                <w:p>
                  <w:pPr>
                    <w:jc w:val="center"/>
                  </w:pPr>
                  <w:r>
                    <w:t>厂界</w:t>
                  </w:r>
                </w:p>
              </w:tc>
              <w:tc>
                <w:tcPr>
                  <w:tcW w:w="3141" w:type="dxa"/>
                  <w:vAlign w:val="center"/>
                </w:tcPr>
                <w:p>
                  <w:pPr>
                    <w:jc w:val="center"/>
                  </w:pPr>
                  <w:r>
                    <w:t>《工业企业厂界环境噪声排放标准》(GB12348-2008)</w:t>
                  </w:r>
                </w:p>
              </w:tc>
              <w:tc>
                <w:tcPr>
                  <w:tcW w:w="1177" w:type="dxa"/>
                  <w:vAlign w:val="center"/>
                </w:tcPr>
                <w:p>
                  <w:pPr>
                    <w:jc w:val="center"/>
                  </w:pPr>
                  <w:r>
                    <w:t>表1</w:t>
                  </w:r>
                </w:p>
                <w:p>
                  <w:pPr>
                    <w:pStyle w:val="8"/>
                    <w:widowControl w:val="0"/>
                    <w:snapToGrid/>
                    <w:spacing w:before="0" w:after="0" w:line="240" w:lineRule="auto"/>
                    <w:ind w:right="0"/>
                    <w:jc w:val="center"/>
                  </w:pPr>
                  <w:r>
                    <w:rPr>
                      <w:rFonts w:hint="eastAsia"/>
                    </w:rPr>
                    <w:t>3</w:t>
                  </w:r>
                  <w:r>
                    <w:t>类</w:t>
                  </w:r>
                </w:p>
              </w:tc>
              <w:tc>
                <w:tcPr>
                  <w:tcW w:w="1092" w:type="dxa"/>
                  <w:vAlign w:val="center"/>
                </w:tcPr>
                <w:p>
                  <w:pPr>
                    <w:jc w:val="center"/>
                  </w:pPr>
                  <w:r>
                    <w:t>dB(A)</w:t>
                  </w:r>
                </w:p>
              </w:tc>
              <w:tc>
                <w:tcPr>
                  <w:tcW w:w="1182" w:type="dxa"/>
                  <w:vAlign w:val="center"/>
                </w:tcPr>
                <w:p>
                  <w:pPr>
                    <w:jc w:val="center"/>
                  </w:pPr>
                  <w:r>
                    <w:t>6</w:t>
                  </w:r>
                  <w:r>
                    <w:rPr>
                      <w:rFonts w:hint="eastAsia"/>
                    </w:rPr>
                    <w:t>5</w:t>
                  </w:r>
                </w:p>
              </w:tc>
            </w:tr>
          </w:tbl>
          <w:p>
            <w:pPr>
              <w:spacing w:line="360" w:lineRule="auto"/>
              <w:ind w:firstLine="420" w:firstLineChars="200"/>
            </w:pPr>
            <w:r>
              <w:t>4、固废污染控制标准</w:t>
            </w:r>
          </w:p>
          <w:p>
            <w:pPr>
              <w:adjustRightInd w:val="0"/>
              <w:snapToGrid w:val="0"/>
              <w:spacing w:line="360" w:lineRule="auto"/>
              <w:ind w:firstLine="420" w:firstLineChars="200"/>
              <w:jc w:val="left"/>
              <w:rPr>
                <w:kern w:val="0"/>
                <w:szCs w:val="21"/>
              </w:rPr>
            </w:pPr>
            <w:r>
              <w:t>一般固体废物参照执行《中华人民共和国固体废物污染环境防治法》（中华人民共和国主席令第43号，2020年9月1日起施行）、《江苏省固体废物污染环境防治条例》（2018修订），一般固体废物堆场应满足相应防渗漏、防雨淋、防扬尘等环境保护要求；危险废物执行《危险废物贮存污染控制标准》（GB18597-2023）中的相关规定。危险废物的转移须严格按照《危险废物转移联单管理办法》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kern w:val="0"/>
                <w:szCs w:val="21"/>
              </w:rPr>
            </w:pPr>
            <w:r>
              <w:rPr>
                <w:kern w:val="0"/>
                <w:szCs w:val="21"/>
              </w:rPr>
              <w:t>总量</w:t>
            </w:r>
          </w:p>
          <w:p>
            <w:pPr>
              <w:adjustRightInd w:val="0"/>
              <w:snapToGrid w:val="0"/>
              <w:jc w:val="center"/>
              <w:rPr>
                <w:kern w:val="0"/>
                <w:szCs w:val="21"/>
              </w:rPr>
            </w:pPr>
            <w:r>
              <w:rPr>
                <w:kern w:val="0"/>
                <w:szCs w:val="21"/>
              </w:rPr>
              <w:t>控制</w:t>
            </w:r>
          </w:p>
          <w:p>
            <w:pPr>
              <w:adjustRightInd w:val="0"/>
              <w:snapToGrid w:val="0"/>
              <w:jc w:val="center"/>
              <w:rPr>
                <w:kern w:val="0"/>
                <w:szCs w:val="21"/>
              </w:rPr>
            </w:pPr>
            <w:r>
              <w:rPr>
                <w:kern w:val="0"/>
                <w:szCs w:val="21"/>
              </w:rPr>
              <w:t>指标</w:t>
            </w:r>
          </w:p>
        </w:tc>
        <w:tc>
          <w:tcPr>
            <w:tcW w:w="8190" w:type="dxa"/>
            <w:vAlign w:val="center"/>
          </w:tcPr>
          <w:p>
            <w:pPr>
              <w:spacing w:line="360" w:lineRule="auto"/>
              <w:ind w:firstLine="422" w:firstLineChars="200"/>
              <w:rPr>
                <w:b/>
                <w:szCs w:val="21"/>
              </w:rPr>
            </w:pPr>
            <w:r>
              <w:rPr>
                <w:b/>
                <w:szCs w:val="21"/>
              </w:rPr>
              <w:t>1、总量控制因子</w:t>
            </w:r>
          </w:p>
          <w:p>
            <w:pPr>
              <w:adjustRightInd w:val="0"/>
              <w:snapToGrid w:val="0"/>
              <w:spacing w:line="360" w:lineRule="auto"/>
              <w:ind w:firstLine="420" w:firstLineChars="200"/>
              <w:jc w:val="left"/>
              <w:rPr>
                <w:rFonts w:hint="eastAsia" w:ascii="Times New Roman" w:hAnsi="Times New Roman" w:cs="Times New Roman"/>
              </w:rPr>
            </w:pPr>
            <w:r>
              <w:rPr>
                <w:rFonts w:hint="eastAsia" w:ascii="Times New Roman" w:hAnsi="Times New Roman" w:cs="Times New Roman"/>
              </w:rPr>
              <w:t>根据《市政府办公室关于印发&lt;常州市建设项目主要污染物排放总量指标审核及管理实施细则&gt;的通知》（常政办发〔2015〕104 号）等文件规定，结合本项目排污特征，确定本项目总量控制因子。</w:t>
            </w:r>
          </w:p>
          <w:p>
            <w:pPr>
              <w:adjustRightInd w:val="0"/>
              <w:snapToGrid w:val="0"/>
              <w:spacing w:line="360" w:lineRule="auto"/>
              <w:ind w:firstLine="420" w:firstLineChars="200"/>
              <w:jc w:val="left"/>
              <w:rPr>
                <w:rFonts w:hint="eastAsia" w:ascii="Times New Roman" w:hAnsi="Times New Roman" w:cs="Times New Roman"/>
              </w:rPr>
            </w:pPr>
            <w:r>
              <w:rPr>
                <w:rFonts w:hint="eastAsia" w:ascii="Times New Roman" w:hAnsi="Times New Roman" w:cs="Times New Roman"/>
              </w:rPr>
              <w:t>水污染物接管总量控制因子为COD、NH</w:t>
            </w:r>
            <w:r>
              <w:rPr>
                <w:rFonts w:hint="eastAsia" w:ascii="Times New Roman" w:hAnsi="Times New Roman" w:cs="Times New Roman"/>
                <w:vertAlign w:val="subscript"/>
              </w:rPr>
              <w:t>3</w:t>
            </w:r>
            <w:r>
              <w:rPr>
                <w:rFonts w:hint="eastAsia" w:ascii="Times New Roman" w:hAnsi="Times New Roman" w:cs="Times New Roman"/>
              </w:rPr>
              <w:t>-N、TP、TN；考核因子：SS。</w:t>
            </w:r>
          </w:p>
          <w:p>
            <w:pPr>
              <w:adjustRightInd w:val="0"/>
              <w:snapToGrid w:val="0"/>
              <w:spacing w:line="360" w:lineRule="auto"/>
              <w:ind w:firstLine="420" w:firstLineChars="200"/>
              <w:jc w:val="left"/>
              <w:rPr>
                <w:rFonts w:ascii="Times New Roman" w:hAnsi="Times New Roman" w:cs="Times New Roman"/>
              </w:rPr>
            </w:pPr>
            <w:r>
              <w:rPr>
                <w:rFonts w:hint="eastAsia" w:ascii="Times New Roman" w:hAnsi="Times New Roman" w:cs="Times New Roman"/>
              </w:rPr>
              <w:t>大气污染物总量控制因子：VOCs（非甲烷总烃）。</w:t>
            </w:r>
          </w:p>
          <w:p>
            <w:pPr>
              <w:spacing w:line="360" w:lineRule="auto"/>
              <w:ind w:firstLine="422" w:firstLineChars="200"/>
              <w:rPr>
                <w:b/>
                <w:szCs w:val="21"/>
              </w:rPr>
            </w:pPr>
            <w:r>
              <w:rPr>
                <w:b/>
                <w:szCs w:val="21"/>
              </w:rPr>
              <w:t>2、总量控制指标</w:t>
            </w:r>
          </w:p>
          <w:p>
            <w:pPr>
              <w:spacing w:line="360" w:lineRule="auto"/>
              <w:ind w:firstLine="422" w:firstLineChars="200"/>
              <w:jc w:val="center"/>
              <w:rPr>
                <w:b/>
                <w:szCs w:val="21"/>
              </w:rPr>
            </w:pPr>
            <w:r>
              <w:rPr>
                <w:b/>
                <w:szCs w:val="21"/>
              </w:rPr>
              <w:t>表</w:t>
            </w:r>
            <w:r>
              <w:rPr>
                <w:rFonts w:hint="eastAsia"/>
                <w:b/>
                <w:szCs w:val="21"/>
              </w:rPr>
              <w:t>3</w:t>
            </w:r>
            <w:r>
              <w:rPr>
                <w:b/>
                <w:szCs w:val="21"/>
              </w:rPr>
              <w:t>-</w:t>
            </w:r>
            <w:r>
              <w:rPr>
                <w:rFonts w:hint="eastAsia"/>
                <w:b/>
                <w:szCs w:val="21"/>
              </w:rPr>
              <w:t>17</w:t>
            </w:r>
            <w:r>
              <w:rPr>
                <w:b/>
                <w:szCs w:val="21"/>
              </w:rPr>
              <w:t xml:space="preserve"> 拟建项目污染物排放总量控制指标表（单位：t/a）</w:t>
            </w:r>
          </w:p>
          <w:tbl>
            <w:tblPr>
              <w:tblStyle w:val="21"/>
              <w:tblW w:w="797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82"/>
              <w:gridCol w:w="437"/>
              <w:gridCol w:w="69"/>
              <w:gridCol w:w="1376"/>
              <w:gridCol w:w="1118"/>
              <w:gridCol w:w="1118"/>
              <w:gridCol w:w="1119"/>
              <w:gridCol w:w="1145"/>
              <w:gridCol w:w="101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582" w:type="dxa"/>
                  <w:vMerge w:val="restart"/>
                  <w:tcBorders>
                    <w:top w:val="single" w:color="auto" w:sz="12" w:space="0"/>
                    <w:bottom w:val="single" w:color="auto" w:sz="4" w:space="0"/>
                  </w:tcBorders>
                  <w:tcMar>
                    <w:left w:w="28" w:type="dxa"/>
                    <w:right w:w="28" w:type="dxa"/>
                  </w:tcMar>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种类</w:t>
                  </w:r>
                </w:p>
              </w:tc>
              <w:tc>
                <w:tcPr>
                  <w:tcW w:w="1882" w:type="dxa"/>
                  <w:gridSpan w:val="3"/>
                  <w:vMerge w:val="restart"/>
                  <w:tcBorders>
                    <w:top w:val="single" w:color="auto" w:sz="12" w:space="0"/>
                    <w:bottom w:val="single" w:color="auto" w:sz="4" w:space="0"/>
                  </w:tcBorders>
                  <w:tcMar>
                    <w:left w:w="28" w:type="dxa"/>
                    <w:right w:w="28" w:type="dxa"/>
                  </w:tcMar>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污染物名称</w:t>
                  </w:r>
                </w:p>
              </w:tc>
              <w:tc>
                <w:tcPr>
                  <w:tcW w:w="3355" w:type="dxa"/>
                  <w:gridSpan w:val="3"/>
                  <w:tcBorders>
                    <w:top w:val="single" w:color="auto" w:sz="12" w:space="0"/>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本项目</w:t>
                  </w:r>
                </w:p>
              </w:tc>
              <w:tc>
                <w:tcPr>
                  <w:tcW w:w="1145" w:type="dxa"/>
                  <w:vMerge w:val="restart"/>
                  <w:tcBorders>
                    <w:top w:val="single" w:color="auto" w:sz="12" w:space="0"/>
                    <w:left w:val="single" w:color="auto" w:sz="2" w:space="0"/>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申请量</w:t>
                  </w:r>
                </w:p>
              </w:tc>
              <w:tc>
                <w:tcPr>
                  <w:tcW w:w="1010" w:type="dxa"/>
                  <w:vMerge w:val="restart"/>
                  <w:tcBorders>
                    <w:top w:val="single" w:color="auto" w:sz="12" w:space="0"/>
                  </w:tcBorders>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排入外环境的量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582" w:type="dxa"/>
                  <w:vMerge w:val="continue"/>
                  <w:tcMar>
                    <w:left w:w="28" w:type="dxa"/>
                    <w:right w:w="28" w:type="dxa"/>
                  </w:tcMar>
                  <w:vAlign w:val="center"/>
                </w:tcPr>
                <w:p>
                  <w:pPr>
                    <w:jc w:val="center"/>
                    <w:rPr>
                      <w:b/>
                      <w:color w:val="000000" w:themeColor="text1"/>
                      <w:szCs w:val="21"/>
                      <w14:textFill>
                        <w14:solidFill>
                          <w14:schemeClr w14:val="tx1"/>
                        </w14:solidFill>
                      </w14:textFill>
                    </w:rPr>
                  </w:pPr>
                </w:p>
              </w:tc>
              <w:tc>
                <w:tcPr>
                  <w:tcW w:w="1882" w:type="dxa"/>
                  <w:gridSpan w:val="3"/>
                  <w:vMerge w:val="continue"/>
                  <w:tcMar>
                    <w:left w:w="28" w:type="dxa"/>
                    <w:right w:w="28" w:type="dxa"/>
                  </w:tcMar>
                  <w:vAlign w:val="center"/>
                </w:tcPr>
                <w:p>
                  <w:pPr>
                    <w:jc w:val="center"/>
                    <w:rPr>
                      <w:b/>
                      <w:color w:val="000000" w:themeColor="text1"/>
                      <w:szCs w:val="21"/>
                      <w14:textFill>
                        <w14:solidFill>
                          <w14:schemeClr w14:val="tx1"/>
                        </w14:solidFill>
                      </w14:textFill>
                    </w:rPr>
                  </w:pPr>
                </w:p>
              </w:tc>
              <w:tc>
                <w:tcPr>
                  <w:tcW w:w="1118" w:type="dxa"/>
                  <w:tcBorders>
                    <w:right w:val="single" w:color="auto" w:sz="2" w:space="0"/>
                  </w:tcBorders>
                  <w:vAlign w:val="center"/>
                </w:tcPr>
                <w:p>
                  <w:pPr>
                    <w:jc w:val="center"/>
                    <w:rPr>
                      <w:bCs/>
                      <w:color w:val="000000" w:themeColor="text1"/>
                      <w:szCs w:val="21"/>
                      <w14:textFill>
                        <w14:solidFill>
                          <w14:schemeClr w14:val="tx1"/>
                        </w14:solidFill>
                      </w14:textFill>
                    </w:rPr>
                  </w:pPr>
                  <w:r>
                    <w:rPr>
                      <w:b/>
                      <w:color w:val="000000" w:themeColor="text1"/>
                      <w:szCs w:val="21"/>
                      <w14:textFill>
                        <w14:solidFill>
                          <w14:schemeClr w14:val="tx1"/>
                        </w14:solidFill>
                      </w14:textFill>
                    </w:rPr>
                    <w:t>产生量</w:t>
                  </w:r>
                </w:p>
              </w:tc>
              <w:tc>
                <w:tcPr>
                  <w:tcW w:w="1118" w:type="dxa"/>
                  <w:tcBorders>
                    <w:left w:val="single" w:color="auto" w:sz="2" w:space="0"/>
                    <w:right w:val="single" w:color="auto" w:sz="2" w:space="0"/>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削减量</w:t>
                  </w:r>
                </w:p>
              </w:tc>
              <w:tc>
                <w:tcPr>
                  <w:tcW w:w="1119" w:type="dxa"/>
                  <w:tcBorders>
                    <w:left w:val="single" w:color="auto" w:sz="2" w:space="0"/>
                  </w:tcBorders>
                  <w:vAlign w:val="center"/>
                </w:tcPr>
                <w:p>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排放量</w:t>
                  </w:r>
                </w:p>
              </w:tc>
              <w:tc>
                <w:tcPr>
                  <w:tcW w:w="1145" w:type="dxa"/>
                  <w:vMerge w:val="continue"/>
                  <w:tcBorders>
                    <w:left w:val="single" w:color="auto" w:sz="2" w:space="0"/>
                  </w:tcBorders>
                  <w:vAlign w:val="center"/>
                </w:tcPr>
                <w:p>
                  <w:pPr>
                    <w:jc w:val="center"/>
                    <w:rPr>
                      <w:b/>
                      <w:color w:val="000000" w:themeColor="text1"/>
                      <w:szCs w:val="21"/>
                      <w14:textFill>
                        <w14:solidFill>
                          <w14:schemeClr w14:val="tx1"/>
                        </w14:solidFill>
                      </w14:textFill>
                    </w:rPr>
                  </w:pPr>
                </w:p>
              </w:tc>
              <w:tc>
                <w:tcPr>
                  <w:tcW w:w="1010" w:type="dxa"/>
                  <w:vMerge w:val="continue"/>
                  <w:vAlign w:val="center"/>
                </w:tcPr>
                <w:p>
                  <w:pPr>
                    <w:jc w:val="center"/>
                    <w:rPr>
                      <w:b/>
                      <w:color w:val="000000" w:themeColor="text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582" w:type="dxa"/>
                  <w:vMerge w:val="restart"/>
                  <w:tcMar>
                    <w:left w:w="28" w:type="dxa"/>
                    <w:right w:w="28" w:type="dxa"/>
                  </w:tcMar>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废气</w:t>
                  </w:r>
                </w:p>
              </w:tc>
              <w:tc>
                <w:tcPr>
                  <w:tcW w:w="437" w:type="dxa"/>
                  <w:tcMar>
                    <w:left w:w="28" w:type="dxa"/>
                    <w:right w:w="28" w:type="dxa"/>
                  </w:tcMar>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有组织</w:t>
                  </w:r>
                </w:p>
              </w:tc>
              <w:tc>
                <w:tcPr>
                  <w:tcW w:w="1445" w:type="dxa"/>
                  <w:gridSpan w:val="2"/>
                  <w:tcMar>
                    <w:left w:w="28" w:type="dxa"/>
                    <w:right w:w="28" w:type="dxa"/>
                  </w:tcMar>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VOCs</w:t>
                  </w:r>
                </w:p>
                <w:p>
                  <w:pPr>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非甲烷总烃</w:t>
                  </w:r>
                  <w:r>
                    <w:rPr>
                      <w:rFonts w:hint="eastAsia"/>
                      <w:color w:val="000000" w:themeColor="text1"/>
                      <w:szCs w:val="21"/>
                      <w:lang w:eastAsia="zh-CN"/>
                      <w14:textFill>
                        <w14:solidFill>
                          <w14:schemeClr w14:val="tx1"/>
                        </w14:solidFill>
                      </w14:textFill>
                    </w:rPr>
                    <w:t>）</w:t>
                  </w:r>
                </w:p>
              </w:tc>
              <w:tc>
                <w:tcPr>
                  <w:tcW w:w="1118" w:type="dxa"/>
                  <w:tcBorders>
                    <w:right w:val="single" w:color="auto" w:sz="2" w:space="0"/>
                  </w:tcBorders>
                  <w:vAlign w:val="center"/>
                </w:tcPr>
                <w:p>
                  <w:pPr>
                    <w:jc w:val="center"/>
                    <w:rPr>
                      <w:rFonts w:hint="eastAsia"/>
                      <w:color w:val="000000" w:themeColor="text1"/>
                      <w:szCs w:val="2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0.1125</w:t>
                  </w:r>
                </w:p>
              </w:tc>
              <w:tc>
                <w:tcPr>
                  <w:tcW w:w="1118" w:type="dxa"/>
                  <w:tcBorders>
                    <w:left w:val="single" w:color="auto" w:sz="2" w:space="0"/>
                    <w:right w:val="single" w:color="auto" w:sz="2"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0.10125</w:t>
                  </w:r>
                </w:p>
              </w:tc>
              <w:tc>
                <w:tcPr>
                  <w:tcW w:w="1119" w:type="dxa"/>
                  <w:tcBorders>
                    <w:left w:val="single" w:color="auto" w:sz="2" w:space="0"/>
                  </w:tcBorders>
                  <w:vAlign w:val="center"/>
                </w:tcPr>
                <w:p>
                  <w:pPr>
                    <w:jc w:val="center"/>
                    <w:rPr>
                      <w:rFonts w:hint="eastAsia"/>
                      <w:color w:val="000000" w:themeColor="text1"/>
                      <w:szCs w:val="2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0.01125</w:t>
                  </w:r>
                </w:p>
              </w:tc>
              <w:tc>
                <w:tcPr>
                  <w:tcW w:w="1145" w:type="dxa"/>
                  <w:tcBorders>
                    <w:left w:val="single" w:color="auto" w:sz="2" w:space="0"/>
                  </w:tcBorders>
                  <w:vAlign w:val="center"/>
                </w:tcPr>
                <w:p>
                  <w:pPr>
                    <w:jc w:val="center"/>
                    <w:rPr>
                      <w:rFonts w:hint="eastAsia"/>
                      <w:color w:val="000000" w:themeColor="text1"/>
                      <w:szCs w:val="21"/>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0.01125</w:t>
                  </w:r>
                </w:p>
              </w:tc>
              <w:tc>
                <w:tcPr>
                  <w:tcW w:w="1010" w:type="dxa"/>
                  <w:tcMar>
                    <w:left w:w="28" w:type="dxa"/>
                    <w:right w:w="28" w:type="dxa"/>
                  </w:tcMar>
                  <w:vAlign w:val="center"/>
                </w:tcPr>
                <w:p>
                  <w:pPr>
                    <w:jc w:val="center"/>
                    <w:rPr>
                      <w:color w:val="000000" w:themeColor="text1"/>
                      <w:szCs w:val="21"/>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0.01125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582" w:type="dxa"/>
                  <w:vMerge w:val="continue"/>
                  <w:tcMar>
                    <w:left w:w="28" w:type="dxa"/>
                    <w:right w:w="28" w:type="dxa"/>
                  </w:tcMar>
                  <w:vAlign w:val="center"/>
                </w:tcPr>
                <w:p>
                  <w:pPr>
                    <w:jc w:val="center"/>
                    <w:rPr>
                      <w:rFonts w:hint="eastAsia" w:eastAsia="宋体"/>
                      <w:color w:val="000000" w:themeColor="text1"/>
                      <w:szCs w:val="21"/>
                      <w:lang w:val="en-US" w:eastAsia="zh-CN"/>
                      <w14:textFill>
                        <w14:solidFill>
                          <w14:schemeClr w14:val="tx1"/>
                        </w14:solidFill>
                      </w14:textFill>
                    </w:rPr>
                  </w:pPr>
                </w:p>
              </w:tc>
              <w:tc>
                <w:tcPr>
                  <w:tcW w:w="437" w:type="dxa"/>
                  <w:tcMar>
                    <w:left w:w="28" w:type="dxa"/>
                    <w:right w:w="28" w:type="dxa"/>
                  </w:tcMar>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无组织</w:t>
                  </w:r>
                </w:p>
              </w:tc>
              <w:tc>
                <w:tcPr>
                  <w:tcW w:w="1445" w:type="dxa"/>
                  <w:gridSpan w:val="2"/>
                  <w:tcMar>
                    <w:left w:w="28" w:type="dxa"/>
                    <w:right w:w="28" w:type="dxa"/>
                  </w:tcMar>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VOCs</w:t>
                  </w:r>
                </w:p>
                <w:p>
                  <w:pPr>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非甲烷总烃</w:t>
                  </w:r>
                  <w:r>
                    <w:rPr>
                      <w:rFonts w:hint="eastAsia"/>
                      <w:color w:val="000000" w:themeColor="text1"/>
                      <w:szCs w:val="21"/>
                      <w:lang w:eastAsia="zh-CN"/>
                      <w14:textFill>
                        <w14:solidFill>
                          <w14:schemeClr w14:val="tx1"/>
                        </w14:solidFill>
                      </w14:textFill>
                    </w:rPr>
                    <w:t>）</w:t>
                  </w:r>
                </w:p>
              </w:tc>
              <w:tc>
                <w:tcPr>
                  <w:tcW w:w="1118" w:type="dxa"/>
                  <w:tcBorders>
                    <w:right w:val="single" w:color="auto" w:sz="2" w:space="0"/>
                  </w:tcBorders>
                  <w:vAlign w:val="center"/>
                </w:tcPr>
                <w:p>
                  <w:pPr>
                    <w:jc w:val="center"/>
                    <w:rPr>
                      <w:rFonts w:hint="eastAsia"/>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0.0125</w:t>
                  </w:r>
                </w:p>
              </w:tc>
              <w:tc>
                <w:tcPr>
                  <w:tcW w:w="1118" w:type="dxa"/>
                  <w:tcBorders>
                    <w:left w:val="single" w:color="auto" w:sz="2" w:space="0"/>
                    <w:right w:val="single" w:color="auto" w:sz="2"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w:t>
                  </w:r>
                </w:p>
              </w:tc>
              <w:tc>
                <w:tcPr>
                  <w:tcW w:w="1119" w:type="dxa"/>
                  <w:tcBorders>
                    <w:left w:val="single" w:color="auto" w:sz="2" w:space="0"/>
                  </w:tcBorders>
                  <w:vAlign w:val="center"/>
                </w:tcPr>
                <w:p>
                  <w:pPr>
                    <w:jc w:val="center"/>
                    <w:rPr>
                      <w:rFonts w:hint="eastAsia"/>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0.0125</w:t>
                  </w:r>
                </w:p>
              </w:tc>
              <w:tc>
                <w:tcPr>
                  <w:tcW w:w="1145" w:type="dxa"/>
                  <w:tcBorders>
                    <w:left w:val="single" w:color="auto" w:sz="2" w:space="0"/>
                  </w:tcBorders>
                  <w:vAlign w:val="center"/>
                </w:tcPr>
                <w:p>
                  <w:pPr>
                    <w:jc w:val="center"/>
                    <w:rPr>
                      <w:rFonts w:hint="eastAsia"/>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0.0125</w:t>
                  </w:r>
                </w:p>
              </w:tc>
              <w:tc>
                <w:tcPr>
                  <w:tcW w:w="1010" w:type="dxa"/>
                  <w:tcMar>
                    <w:left w:w="28" w:type="dxa"/>
                    <w:right w:w="28" w:type="dxa"/>
                  </w:tcMar>
                  <w:vAlign w:val="center"/>
                </w:tcPr>
                <w:p>
                  <w:pPr>
                    <w:jc w:val="center"/>
                    <w:rPr>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bidi="ar-SA"/>
                      <w14:textFill>
                        <w14:solidFill>
                          <w14:schemeClr w14:val="tx1"/>
                        </w14:solidFill>
                      </w14:textFill>
                    </w:rPr>
                    <w:t>0.0125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582" w:type="dxa"/>
                  <w:vMerge w:val="restart"/>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w:t>
                  </w:r>
                </w:p>
              </w:tc>
              <w:tc>
                <w:tcPr>
                  <w:tcW w:w="1882" w:type="dxa"/>
                  <w:gridSpan w:val="3"/>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废水量</w:t>
                  </w:r>
                </w:p>
              </w:tc>
              <w:tc>
                <w:tcPr>
                  <w:tcW w:w="1118" w:type="dxa"/>
                  <w:tcBorders>
                    <w:right w:val="single" w:color="auto" w:sz="2"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192</w:t>
                  </w:r>
                </w:p>
              </w:tc>
              <w:tc>
                <w:tcPr>
                  <w:tcW w:w="1118" w:type="dxa"/>
                  <w:tcBorders>
                    <w:left w:val="single" w:color="auto" w:sz="2" w:space="0"/>
                    <w:right w:val="single" w:color="auto" w:sz="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119" w:type="dxa"/>
                  <w:tcBorders>
                    <w:left w:val="single" w:color="auto" w:sz="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192</w:t>
                  </w:r>
                </w:p>
              </w:tc>
              <w:tc>
                <w:tcPr>
                  <w:tcW w:w="1145" w:type="dxa"/>
                  <w:tcBorders>
                    <w:left w:val="single" w:color="auto" w:sz="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192</w:t>
                  </w:r>
                </w:p>
              </w:tc>
              <w:tc>
                <w:tcPr>
                  <w:tcW w:w="1010" w:type="dxa"/>
                  <w:tcMar>
                    <w:left w:w="28" w:type="dxa"/>
                    <w:right w:w="28" w:type="dxa"/>
                  </w:tcMar>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582" w:type="dxa"/>
                  <w:vMerge w:val="continue"/>
                  <w:tcMar>
                    <w:left w:w="28" w:type="dxa"/>
                    <w:right w:w="28" w:type="dxa"/>
                  </w:tcMar>
                  <w:vAlign w:val="center"/>
                </w:tcPr>
                <w:p>
                  <w:pPr>
                    <w:jc w:val="center"/>
                    <w:rPr>
                      <w:color w:val="000000" w:themeColor="text1"/>
                      <w:szCs w:val="21"/>
                      <w14:textFill>
                        <w14:solidFill>
                          <w14:schemeClr w14:val="tx1"/>
                        </w14:solidFill>
                      </w14:textFill>
                    </w:rPr>
                  </w:pPr>
                </w:p>
              </w:tc>
              <w:tc>
                <w:tcPr>
                  <w:tcW w:w="1882" w:type="dxa"/>
                  <w:gridSpan w:val="3"/>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1118" w:type="dxa"/>
                  <w:tcBorders>
                    <w:righ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0.077</w:t>
                  </w:r>
                </w:p>
              </w:tc>
              <w:tc>
                <w:tcPr>
                  <w:tcW w:w="1118" w:type="dxa"/>
                  <w:tcBorders>
                    <w:left w:val="single" w:color="auto" w:sz="2" w:space="0"/>
                    <w:right w:val="single" w:color="auto" w:sz="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119" w:type="dxa"/>
                  <w:tcBorders>
                    <w:lef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0.077</w:t>
                  </w:r>
                </w:p>
              </w:tc>
              <w:tc>
                <w:tcPr>
                  <w:tcW w:w="1145" w:type="dxa"/>
                  <w:tcBorders>
                    <w:lef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0.077</w:t>
                  </w:r>
                </w:p>
              </w:tc>
              <w:tc>
                <w:tcPr>
                  <w:tcW w:w="1010" w:type="dxa"/>
                  <w:tcBorders>
                    <w:left w:val="single" w:color="auto" w:sz="2" w:space="0"/>
                  </w:tcBorders>
                  <w:vAlign w:val="center"/>
                </w:tcPr>
                <w:p>
                  <w:pPr>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0.0096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582" w:type="dxa"/>
                  <w:vMerge w:val="continue"/>
                  <w:tcMar>
                    <w:left w:w="28" w:type="dxa"/>
                    <w:right w:w="28" w:type="dxa"/>
                  </w:tcMar>
                  <w:vAlign w:val="center"/>
                </w:tcPr>
                <w:p>
                  <w:pPr>
                    <w:jc w:val="center"/>
                    <w:rPr>
                      <w:color w:val="000000" w:themeColor="text1"/>
                      <w:szCs w:val="21"/>
                      <w14:textFill>
                        <w14:solidFill>
                          <w14:schemeClr w14:val="tx1"/>
                        </w14:solidFill>
                      </w14:textFill>
                    </w:rPr>
                  </w:pPr>
                </w:p>
              </w:tc>
              <w:tc>
                <w:tcPr>
                  <w:tcW w:w="1882" w:type="dxa"/>
                  <w:gridSpan w:val="3"/>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1118" w:type="dxa"/>
                  <w:tcBorders>
                    <w:righ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0.058</w:t>
                  </w:r>
                </w:p>
              </w:tc>
              <w:tc>
                <w:tcPr>
                  <w:tcW w:w="1118" w:type="dxa"/>
                  <w:tcBorders>
                    <w:left w:val="single" w:color="auto" w:sz="2" w:space="0"/>
                    <w:right w:val="single" w:color="auto" w:sz="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119" w:type="dxa"/>
                  <w:tcBorders>
                    <w:lef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0.058</w:t>
                  </w:r>
                </w:p>
              </w:tc>
              <w:tc>
                <w:tcPr>
                  <w:tcW w:w="1145" w:type="dxa"/>
                  <w:tcBorders>
                    <w:lef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0.058</w:t>
                  </w:r>
                </w:p>
              </w:tc>
              <w:tc>
                <w:tcPr>
                  <w:tcW w:w="1010" w:type="dxa"/>
                  <w:tcBorders>
                    <w:left w:val="single" w:color="auto" w:sz="2" w:space="0"/>
                  </w:tcBorders>
                  <w:vAlign w:val="center"/>
                </w:tcPr>
                <w:p>
                  <w:pPr>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0.00192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582" w:type="dxa"/>
                  <w:vMerge w:val="continue"/>
                  <w:tcMar>
                    <w:left w:w="28" w:type="dxa"/>
                    <w:right w:w="28" w:type="dxa"/>
                  </w:tcMar>
                  <w:vAlign w:val="center"/>
                </w:tcPr>
                <w:p>
                  <w:pPr>
                    <w:jc w:val="center"/>
                    <w:rPr>
                      <w:color w:val="000000" w:themeColor="text1"/>
                      <w:szCs w:val="21"/>
                      <w14:textFill>
                        <w14:solidFill>
                          <w14:schemeClr w14:val="tx1"/>
                        </w14:solidFill>
                      </w14:textFill>
                    </w:rPr>
                  </w:pPr>
                </w:p>
              </w:tc>
              <w:tc>
                <w:tcPr>
                  <w:tcW w:w="1882" w:type="dxa"/>
                  <w:gridSpan w:val="3"/>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NH</w:t>
                  </w:r>
                  <w:r>
                    <w:rPr>
                      <w:color w:val="000000" w:themeColor="text1"/>
                      <w:kern w:val="0"/>
                      <w:szCs w:val="21"/>
                      <w:vertAlign w:val="subscript"/>
                      <w14:textFill>
                        <w14:solidFill>
                          <w14:schemeClr w14:val="tx1"/>
                        </w14:solidFill>
                      </w14:textFill>
                    </w:rPr>
                    <w:t>3</w:t>
                  </w:r>
                  <w:r>
                    <w:rPr>
                      <w:color w:val="000000" w:themeColor="text1"/>
                      <w:kern w:val="0"/>
                      <w:szCs w:val="21"/>
                      <w14:textFill>
                        <w14:solidFill>
                          <w14:schemeClr w14:val="tx1"/>
                        </w14:solidFill>
                      </w14:textFill>
                    </w:rPr>
                    <w:t>-N</w:t>
                  </w:r>
                </w:p>
              </w:tc>
              <w:tc>
                <w:tcPr>
                  <w:tcW w:w="1118" w:type="dxa"/>
                  <w:tcBorders>
                    <w:righ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0.0067</w:t>
                  </w:r>
                </w:p>
              </w:tc>
              <w:tc>
                <w:tcPr>
                  <w:tcW w:w="1118" w:type="dxa"/>
                  <w:tcBorders>
                    <w:left w:val="single" w:color="auto" w:sz="2" w:space="0"/>
                    <w:right w:val="single" w:color="auto" w:sz="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119" w:type="dxa"/>
                  <w:tcBorders>
                    <w:lef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0.0067</w:t>
                  </w:r>
                </w:p>
              </w:tc>
              <w:tc>
                <w:tcPr>
                  <w:tcW w:w="1145" w:type="dxa"/>
                  <w:tcBorders>
                    <w:lef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0.0067</w:t>
                  </w:r>
                </w:p>
              </w:tc>
              <w:tc>
                <w:tcPr>
                  <w:tcW w:w="1010" w:type="dxa"/>
                  <w:tcBorders>
                    <w:left w:val="single" w:color="auto" w:sz="2" w:space="0"/>
                  </w:tcBorders>
                  <w:vAlign w:val="center"/>
                </w:tcPr>
                <w:p>
                  <w:pPr>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0.000768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65" w:hRule="atLeast"/>
                <w:jc w:val="center"/>
              </w:trPr>
              <w:tc>
                <w:tcPr>
                  <w:tcW w:w="582" w:type="dxa"/>
                  <w:vMerge w:val="continue"/>
                  <w:tcMar>
                    <w:left w:w="28" w:type="dxa"/>
                    <w:right w:w="28" w:type="dxa"/>
                  </w:tcMar>
                  <w:vAlign w:val="center"/>
                </w:tcPr>
                <w:p>
                  <w:pPr>
                    <w:jc w:val="center"/>
                    <w:rPr>
                      <w:color w:val="000000" w:themeColor="text1"/>
                      <w:szCs w:val="21"/>
                      <w14:textFill>
                        <w14:solidFill>
                          <w14:schemeClr w14:val="tx1"/>
                        </w14:solidFill>
                      </w14:textFill>
                    </w:rPr>
                  </w:pPr>
                </w:p>
              </w:tc>
              <w:tc>
                <w:tcPr>
                  <w:tcW w:w="1882" w:type="dxa"/>
                  <w:gridSpan w:val="3"/>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TP</w:t>
                  </w:r>
                </w:p>
              </w:tc>
              <w:tc>
                <w:tcPr>
                  <w:tcW w:w="1118" w:type="dxa"/>
                  <w:tcBorders>
                    <w:righ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0.0096</w:t>
                  </w:r>
                </w:p>
              </w:tc>
              <w:tc>
                <w:tcPr>
                  <w:tcW w:w="1118" w:type="dxa"/>
                  <w:tcBorders>
                    <w:left w:val="single" w:color="auto" w:sz="2" w:space="0"/>
                    <w:right w:val="single" w:color="auto" w:sz="2" w:space="0"/>
                  </w:tcBorders>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c>
                <w:tcPr>
                  <w:tcW w:w="1119" w:type="dxa"/>
                  <w:tcBorders>
                    <w:lef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0.0096</w:t>
                  </w:r>
                </w:p>
              </w:tc>
              <w:tc>
                <w:tcPr>
                  <w:tcW w:w="1145" w:type="dxa"/>
                  <w:tcBorders>
                    <w:lef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0.0096</w:t>
                  </w:r>
                </w:p>
              </w:tc>
              <w:tc>
                <w:tcPr>
                  <w:tcW w:w="1010" w:type="dxa"/>
                  <w:tcBorders>
                    <w:left w:val="single" w:color="auto" w:sz="2" w:space="0"/>
                  </w:tcBorders>
                  <w:vAlign w:val="center"/>
                </w:tcPr>
                <w:p>
                  <w:pPr>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0.000096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165" w:hRule="atLeast"/>
                <w:jc w:val="center"/>
              </w:trPr>
              <w:tc>
                <w:tcPr>
                  <w:tcW w:w="582" w:type="dxa"/>
                  <w:vMerge w:val="continue"/>
                  <w:tcMar>
                    <w:left w:w="28" w:type="dxa"/>
                    <w:right w:w="28" w:type="dxa"/>
                  </w:tcMar>
                  <w:vAlign w:val="center"/>
                </w:tcPr>
                <w:p>
                  <w:pPr>
                    <w:jc w:val="center"/>
                    <w:rPr>
                      <w:color w:val="000000" w:themeColor="text1"/>
                      <w:szCs w:val="21"/>
                      <w14:textFill>
                        <w14:solidFill>
                          <w14:schemeClr w14:val="tx1"/>
                        </w14:solidFill>
                      </w14:textFill>
                    </w:rPr>
                  </w:pPr>
                </w:p>
              </w:tc>
              <w:tc>
                <w:tcPr>
                  <w:tcW w:w="1882" w:type="dxa"/>
                  <w:gridSpan w:val="3"/>
                  <w:tcMar>
                    <w:left w:w="28" w:type="dxa"/>
                    <w:right w:w="28"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TN</w:t>
                  </w:r>
                </w:p>
              </w:tc>
              <w:tc>
                <w:tcPr>
                  <w:tcW w:w="1118" w:type="dxa"/>
                  <w:tcBorders>
                    <w:righ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0.0115</w:t>
                  </w:r>
                </w:p>
              </w:tc>
              <w:tc>
                <w:tcPr>
                  <w:tcW w:w="1118" w:type="dxa"/>
                  <w:tcBorders>
                    <w:left w:val="single" w:color="auto" w:sz="2" w:space="0"/>
                    <w:right w:val="single" w:color="auto" w:sz="2" w:space="0"/>
                  </w:tcBorders>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c>
                <w:tcPr>
                  <w:tcW w:w="1119" w:type="dxa"/>
                  <w:tcBorders>
                    <w:lef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0.0115</w:t>
                  </w:r>
                </w:p>
              </w:tc>
              <w:tc>
                <w:tcPr>
                  <w:tcW w:w="1145" w:type="dxa"/>
                  <w:tcBorders>
                    <w:left w:val="single" w:color="auto" w:sz="2" w:space="0"/>
                  </w:tcBorders>
                  <w:vAlign w:val="center"/>
                </w:tcPr>
                <w:p>
                  <w:pPr>
                    <w:autoSpaceDN w:val="0"/>
                    <w:jc w:val="center"/>
                    <w:textAlignment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0.0115</w:t>
                  </w:r>
                </w:p>
              </w:tc>
              <w:tc>
                <w:tcPr>
                  <w:tcW w:w="1010" w:type="dxa"/>
                  <w:tcBorders>
                    <w:left w:val="single" w:color="auto" w:sz="2" w:space="0"/>
                  </w:tcBorders>
                  <w:vAlign w:val="center"/>
                </w:tcPr>
                <w:p>
                  <w:pPr>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0.002304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82" w:type="dxa"/>
                  <w:vMerge w:val="restart"/>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废弃物</w:t>
                  </w:r>
                </w:p>
              </w:tc>
              <w:tc>
                <w:tcPr>
                  <w:tcW w:w="506" w:type="dxa"/>
                  <w:gridSpan w:val="2"/>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w:t>
                  </w:r>
                </w:p>
              </w:tc>
              <w:tc>
                <w:tcPr>
                  <w:tcW w:w="1376" w:type="dxa"/>
                  <w:tcMar>
                    <w:left w:w="28" w:type="dxa"/>
                    <w:right w:w="28" w:type="dxa"/>
                  </w:tcMar>
                  <w:vAlign w:val="center"/>
                </w:tcPr>
                <w:p>
                  <w:pPr>
                    <w:jc w:val="center"/>
                    <w:rPr>
                      <w:rFonts w:hint="eastAsia" w:eastAsia="宋体"/>
                      <w:color w:val="000000" w:themeColor="text1"/>
                      <w:szCs w:val="21"/>
                      <w:highlight w:val="yellow"/>
                      <w:lang w:eastAsia="zh-CN"/>
                      <w14:textFill>
                        <w14:solidFill>
                          <w14:schemeClr w14:val="tx1"/>
                        </w14:solidFill>
                      </w14:textFill>
                    </w:rPr>
                  </w:pPr>
                  <w:r>
                    <w:rPr>
                      <w:rFonts w:hint="eastAsia"/>
                      <w:color w:val="000000" w:themeColor="text1"/>
                      <w:szCs w:val="21"/>
                      <w14:textFill>
                        <w14:solidFill>
                          <w14:schemeClr w14:val="tx1"/>
                        </w14:solidFill>
                      </w14:textFill>
                    </w:rPr>
                    <w:t>废</w:t>
                  </w:r>
                  <w:r>
                    <w:rPr>
                      <w:rFonts w:hint="eastAsia"/>
                      <w:color w:val="000000" w:themeColor="text1"/>
                      <w:szCs w:val="21"/>
                      <w:lang w:val="en-US" w:eastAsia="zh-CN"/>
                      <w14:textFill>
                        <w14:solidFill>
                          <w14:schemeClr w14:val="tx1"/>
                        </w14:solidFill>
                      </w14:textFill>
                    </w:rPr>
                    <w:t>活性炭</w:t>
                  </w:r>
                </w:p>
              </w:tc>
              <w:tc>
                <w:tcPr>
                  <w:tcW w:w="1118" w:type="dxa"/>
                  <w:tcBorders>
                    <w:right w:val="single" w:color="auto" w:sz="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1.114</w:t>
                  </w:r>
                </w:p>
              </w:tc>
              <w:tc>
                <w:tcPr>
                  <w:tcW w:w="1118" w:type="dxa"/>
                  <w:tcBorders>
                    <w:left w:val="single" w:color="auto" w:sz="2" w:space="0"/>
                    <w:right w:val="single" w:color="auto" w:sz="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1.114</w:t>
                  </w:r>
                </w:p>
              </w:tc>
              <w:tc>
                <w:tcPr>
                  <w:tcW w:w="1119" w:type="dxa"/>
                  <w:tcBorders>
                    <w:left w:val="single" w:color="auto" w:sz="2"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145" w:type="dxa"/>
                  <w:tcBorders>
                    <w:left w:val="single" w:color="auto" w:sz="2"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10" w:type="dxa"/>
                  <w:tcBorders>
                    <w:left w:val="single" w:color="auto" w:sz="2"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8" w:hRule="atLeast"/>
                <w:jc w:val="center"/>
              </w:trPr>
              <w:tc>
                <w:tcPr>
                  <w:tcW w:w="582" w:type="dxa"/>
                  <w:vMerge w:val="continue"/>
                  <w:tcMar>
                    <w:left w:w="28" w:type="dxa"/>
                    <w:right w:w="28" w:type="dxa"/>
                  </w:tcMar>
                  <w:vAlign w:val="center"/>
                </w:tcPr>
                <w:p>
                  <w:pPr>
                    <w:jc w:val="center"/>
                    <w:rPr>
                      <w:color w:val="FF0000"/>
                      <w:szCs w:val="21"/>
                    </w:rPr>
                  </w:pPr>
                </w:p>
              </w:tc>
              <w:tc>
                <w:tcPr>
                  <w:tcW w:w="506" w:type="dxa"/>
                  <w:gridSpan w:val="2"/>
                  <w:vMerge w:val="restart"/>
                  <w:tcMar>
                    <w:left w:w="28" w:type="dxa"/>
                    <w:right w:w="28" w:type="dxa"/>
                  </w:tcMar>
                  <w:vAlign w:val="center"/>
                </w:tcPr>
                <w:p>
                  <w:pPr>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一般固废</w:t>
                  </w:r>
                </w:p>
              </w:tc>
              <w:tc>
                <w:tcPr>
                  <w:tcW w:w="1376" w:type="dxa"/>
                  <w:tcMar>
                    <w:left w:w="28" w:type="dxa"/>
                    <w:right w:w="28" w:type="dxa"/>
                  </w:tcMar>
                  <w:vAlign w:val="center"/>
                </w:tcPr>
                <w:p>
                  <w:pPr>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废包装材料</w:t>
                  </w:r>
                </w:p>
              </w:tc>
              <w:tc>
                <w:tcPr>
                  <w:tcW w:w="1118" w:type="dxa"/>
                  <w:tcBorders>
                    <w:right w:val="single" w:color="auto" w:sz="2" w:space="0"/>
                  </w:tcBorders>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0.5</w:t>
                  </w:r>
                </w:p>
              </w:tc>
              <w:tc>
                <w:tcPr>
                  <w:tcW w:w="1118" w:type="dxa"/>
                  <w:tcBorders>
                    <w:left w:val="single" w:color="auto" w:sz="2" w:space="0"/>
                    <w:right w:val="single" w:color="auto" w:sz="2"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0.5</w:t>
                  </w:r>
                </w:p>
              </w:tc>
              <w:tc>
                <w:tcPr>
                  <w:tcW w:w="1119" w:type="dxa"/>
                  <w:tcBorders>
                    <w:left w:val="single" w:color="auto" w:sz="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145" w:type="dxa"/>
                  <w:tcBorders>
                    <w:left w:val="single" w:color="auto" w:sz="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010" w:type="dxa"/>
                  <w:tcBorders>
                    <w:left w:val="single" w:color="auto" w:sz="2"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8" w:hRule="atLeast"/>
                <w:jc w:val="center"/>
              </w:trPr>
              <w:tc>
                <w:tcPr>
                  <w:tcW w:w="582" w:type="dxa"/>
                  <w:vMerge w:val="continue"/>
                  <w:tcMar>
                    <w:left w:w="28" w:type="dxa"/>
                    <w:right w:w="28" w:type="dxa"/>
                  </w:tcMar>
                  <w:vAlign w:val="center"/>
                </w:tcPr>
                <w:p>
                  <w:pPr>
                    <w:jc w:val="center"/>
                    <w:rPr>
                      <w:color w:val="FF0000"/>
                      <w:szCs w:val="21"/>
                    </w:rPr>
                  </w:pPr>
                </w:p>
              </w:tc>
              <w:tc>
                <w:tcPr>
                  <w:tcW w:w="506" w:type="dxa"/>
                  <w:gridSpan w:val="2"/>
                  <w:vMerge w:val="continue"/>
                  <w:tcMar>
                    <w:left w:w="28" w:type="dxa"/>
                    <w:right w:w="28" w:type="dxa"/>
                  </w:tcMar>
                  <w:vAlign w:val="center"/>
                </w:tcPr>
                <w:p>
                  <w:pPr>
                    <w:jc w:val="center"/>
                    <w:rPr>
                      <w:rFonts w:hint="eastAsia" w:ascii="Times New Roman" w:hAnsi="Times New Roman" w:cs="Times New Roman"/>
                      <w:color w:val="000000" w:themeColor="text1"/>
                      <w:szCs w:val="21"/>
                      <w14:textFill>
                        <w14:solidFill>
                          <w14:schemeClr w14:val="tx1"/>
                        </w14:solidFill>
                      </w14:textFill>
                    </w:rPr>
                  </w:pPr>
                </w:p>
              </w:tc>
              <w:tc>
                <w:tcPr>
                  <w:tcW w:w="1376" w:type="dxa"/>
                  <w:tcMar>
                    <w:left w:w="28" w:type="dxa"/>
                    <w:right w:w="28" w:type="dxa"/>
                  </w:tcMar>
                  <w:vAlign w:val="center"/>
                </w:tcPr>
                <w:p>
                  <w:pPr>
                    <w:jc w:val="center"/>
                    <w:rPr>
                      <w:rFonts w:hint="eastAsia"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不合格品及边角料</w:t>
                  </w:r>
                </w:p>
              </w:tc>
              <w:tc>
                <w:tcPr>
                  <w:tcW w:w="1118" w:type="dxa"/>
                  <w:tcBorders>
                    <w:right w:val="single" w:color="auto" w:sz="2" w:space="0"/>
                  </w:tcBorders>
                  <w:vAlign w:val="center"/>
                </w:tcPr>
                <w:p>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w:t>
                  </w:r>
                </w:p>
              </w:tc>
              <w:tc>
                <w:tcPr>
                  <w:tcW w:w="1118" w:type="dxa"/>
                  <w:tcBorders>
                    <w:left w:val="single" w:color="auto" w:sz="2" w:space="0"/>
                    <w:right w:val="single" w:color="auto" w:sz="2" w:space="0"/>
                  </w:tcBorders>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1119" w:type="dxa"/>
                  <w:tcBorders>
                    <w:left w:val="single" w:color="auto" w:sz="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145" w:type="dxa"/>
                  <w:tcBorders>
                    <w:left w:val="single" w:color="auto" w:sz="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1010" w:type="dxa"/>
                  <w:tcBorders>
                    <w:left w:val="single" w:color="auto" w:sz="2"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582" w:type="dxa"/>
                  <w:vMerge w:val="continue"/>
                  <w:tcBorders>
                    <w:bottom w:val="single" w:color="auto" w:sz="12" w:space="0"/>
                  </w:tcBorders>
                  <w:tcMar>
                    <w:left w:w="28" w:type="dxa"/>
                    <w:right w:w="28" w:type="dxa"/>
                  </w:tcMar>
                  <w:vAlign w:val="center"/>
                </w:tcPr>
                <w:p>
                  <w:pPr>
                    <w:jc w:val="center"/>
                    <w:rPr>
                      <w:color w:val="FF0000"/>
                      <w:szCs w:val="21"/>
                    </w:rPr>
                  </w:pPr>
                </w:p>
              </w:tc>
              <w:tc>
                <w:tcPr>
                  <w:tcW w:w="1882" w:type="dxa"/>
                  <w:gridSpan w:val="3"/>
                  <w:tcBorders>
                    <w:bottom w:val="single" w:color="auto" w:sz="12" w:space="0"/>
                  </w:tcBorders>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1118" w:type="dxa"/>
                  <w:tcBorders>
                    <w:bottom w:val="single" w:color="auto" w:sz="12" w:space="0"/>
                    <w:right w:val="single" w:color="auto" w:sz="2" w:space="0"/>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2.4</w:t>
                  </w:r>
                </w:p>
              </w:tc>
              <w:tc>
                <w:tcPr>
                  <w:tcW w:w="1118" w:type="dxa"/>
                  <w:tcBorders>
                    <w:left w:val="single" w:color="auto" w:sz="2" w:space="0"/>
                    <w:bottom w:val="single" w:color="auto" w:sz="12" w:space="0"/>
                    <w:right w:val="single" w:color="auto" w:sz="2"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2.4</w:t>
                  </w:r>
                </w:p>
              </w:tc>
              <w:tc>
                <w:tcPr>
                  <w:tcW w:w="1119" w:type="dxa"/>
                  <w:tcBorders>
                    <w:left w:val="single" w:color="auto" w:sz="2" w:space="0"/>
                    <w:bottom w:val="single" w:color="auto" w:sz="12"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145" w:type="dxa"/>
                  <w:tcBorders>
                    <w:left w:val="single" w:color="auto" w:sz="2" w:space="0"/>
                    <w:bottom w:val="single" w:color="auto" w:sz="12"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1010" w:type="dxa"/>
                  <w:tcBorders>
                    <w:left w:val="single" w:color="auto" w:sz="2" w:space="0"/>
                    <w:bottom w:val="single" w:color="auto" w:sz="12"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bl>
          <w:p>
            <w:pPr>
              <w:spacing w:line="360" w:lineRule="auto"/>
              <w:ind w:firstLine="422" w:firstLineChars="200"/>
              <w:rPr>
                <w:b/>
                <w:szCs w:val="21"/>
              </w:rPr>
            </w:pPr>
            <w:r>
              <w:rPr>
                <w:b/>
                <w:szCs w:val="21"/>
              </w:rPr>
              <w:t>3、总量申请方案</w:t>
            </w:r>
          </w:p>
          <w:p>
            <w:pPr>
              <w:spacing w:line="360" w:lineRule="auto"/>
              <w:ind w:firstLine="420" w:firstLineChars="200"/>
              <w:rPr>
                <w:szCs w:val="21"/>
              </w:rPr>
            </w:pPr>
            <w:r>
              <w:rPr>
                <w:szCs w:val="21"/>
              </w:rPr>
              <w:t>（1）水污染物</w:t>
            </w:r>
          </w:p>
          <w:p>
            <w:pPr>
              <w:spacing w:line="360" w:lineRule="auto"/>
              <w:ind w:firstLine="420" w:firstLineChars="200"/>
              <w:rPr>
                <w:szCs w:val="21"/>
              </w:rPr>
            </w:pPr>
            <w:r>
              <w:rPr>
                <w:szCs w:val="21"/>
              </w:rPr>
              <w:t>本项目生活污水排放量</w:t>
            </w:r>
            <w:r>
              <w:rPr>
                <w:rFonts w:hint="eastAsia"/>
                <w:szCs w:val="21"/>
                <w:lang w:val="en-US" w:eastAsia="zh-CN"/>
              </w:rPr>
              <w:t>192</w:t>
            </w:r>
            <w:r>
              <w:rPr>
                <w:szCs w:val="21"/>
              </w:rPr>
              <w:t>t/a，经管网收集后排入武南污水处理厂进行处理，处理达标后尾水排入武南河。废水中各污染物总量在污水厂内实现平衡，总量为武南污水处理厂接管考核量。</w:t>
            </w:r>
          </w:p>
          <w:p>
            <w:pPr>
              <w:spacing w:line="360" w:lineRule="auto"/>
              <w:ind w:firstLine="420" w:firstLineChars="200"/>
              <w:rPr>
                <w:szCs w:val="21"/>
              </w:rPr>
            </w:pPr>
            <w:r>
              <w:rPr>
                <w:szCs w:val="21"/>
              </w:rPr>
              <w:t>（2）大气污染物</w:t>
            </w:r>
          </w:p>
          <w:p>
            <w:pPr>
              <w:spacing w:line="360" w:lineRule="auto"/>
              <w:ind w:firstLine="420" w:firstLineChars="200"/>
              <w:rPr>
                <w:color w:val="000000" w:themeColor="text1"/>
                <w:szCs w:val="21"/>
                <w14:textFill>
                  <w14:solidFill>
                    <w14:schemeClr w14:val="tx1"/>
                  </w14:solidFill>
                </w14:textFill>
              </w:rPr>
            </w:pPr>
            <w:r>
              <w:rPr>
                <w:rFonts w:hint="eastAsia"/>
                <w:szCs w:val="21"/>
              </w:rPr>
              <w:t>根据《关于加强建设项目烟粉尘、挥发性有机物准入审核的通知》（苏环办[2014]148号），新、改、扩建排放</w:t>
            </w:r>
            <w:r>
              <w:rPr>
                <w:rFonts w:hint="eastAsia"/>
                <w:color w:val="000000" w:themeColor="text1"/>
                <w:szCs w:val="21"/>
                <w14:textFill>
                  <w14:solidFill>
                    <w14:schemeClr w14:val="tx1"/>
                  </w14:solidFill>
                </w14:textFill>
              </w:rPr>
              <w:t>烟粉尘、挥发性有机物的项目，实行现役源2倍削减量替代或关闭项目1.5倍削减量替代。本项目新增有组织排放的VOCs</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非甲烷总烃</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0.01125</w:t>
            </w:r>
            <w:r>
              <w:rPr>
                <w:rFonts w:hint="eastAsia"/>
                <w:color w:val="000000" w:themeColor="text1"/>
                <w:szCs w:val="21"/>
                <w14:textFill>
                  <w14:solidFill>
                    <w14:schemeClr w14:val="tx1"/>
                  </w14:solidFill>
                </w14:textFill>
              </w:rPr>
              <w:t>t/a。VOCs</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非甲烷总烃</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需在武进区内实现区域平衡。</w:t>
            </w:r>
          </w:p>
          <w:p>
            <w:pPr>
              <w:spacing w:line="360" w:lineRule="auto"/>
              <w:ind w:firstLine="420" w:firstLineChars="200"/>
              <w:jc w:val="left"/>
              <w:rPr>
                <w:szCs w:val="21"/>
              </w:rPr>
            </w:pPr>
          </w:p>
          <w:p>
            <w:pPr>
              <w:spacing w:line="360" w:lineRule="auto"/>
              <w:jc w:val="left"/>
              <w:rPr>
                <w:kern w:val="0"/>
                <w:szCs w:val="21"/>
              </w:rPr>
            </w:pPr>
          </w:p>
          <w:p>
            <w:pPr>
              <w:spacing w:line="360" w:lineRule="auto"/>
              <w:jc w:val="left"/>
              <w:rPr>
                <w:kern w:val="0"/>
                <w:szCs w:val="21"/>
              </w:rPr>
            </w:pPr>
          </w:p>
          <w:p>
            <w:pPr>
              <w:spacing w:line="360" w:lineRule="auto"/>
              <w:jc w:val="left"/>
              <w:rPr>
                <w:kern w:val="0"/>
                <w:szCs w:val="21"/>
              </w:rPr>
            </w:pPr>
          </w:p>
          <w:p>
            <w:pPr>
              <w:spacing w:line="360" w:lineRule="auto"/>
              <w:jc w:val="left"/>
              <w:rPr>
                <w:kern w:val="0"/>
                <w:szCs w:val="21"/>
              </w:rPr>
            </w:pPr>
          </w:p>
          <w:p>
            <w:pPr>
              <w:spacing w:line="360" w:lineRule="auto"/>
              <w:jc w:val="left"/>
              <w:rPr>
                <w:kern w:val="0"/>
                <w:szCs w:val="21"/>
              </w:rPr>
            </w:pPr>
          </w:p>
          <w:p>
            <w:pPr>
              <w:spacing w:line="360" w:lineRule="auto"/>
              <w:jc w:val="left"/>
              <w:rPr>
                <w:kern w:val="0"/>
                <w:szCs w:val="21"/>
              </w:rPr>
            </w:pPr>
          </w:p>
          <w:p>
            <w:pPr>
              <w:spacing w:line="360" w:lineRule="auto"/>
              <w:jc w:val="left"/>
              <w:rPr>
                <w:kern w:val="0"/>
                <w:szCs w:val="21"/>
              </w:rPr>
            </w:pPr>
          </w:p>
          <w:p>
            <w:pPr>
              <w:spacing w:line="360" w:lineRule="auto"/>
              <w:jc w:val="left"/>
              <w:rPr>
                <w:kern w:val="0"/>
                <w:szCs w:val="21"/>
              </w:rPr>
            </w:pPr>
          </w:p>
          <w:p>
            <w:pPr>
              <w:spacing w:line="360" w:lineRule="auto"/>
              <w:jc w:val="left"/>
              <w:rPr>
                <w:kern w:val="0"/>
                <w:szCs w:val="21"/>
              </w:rPr>
            </w:pPr>
          </w:p>
          <w:p>
            <w:pPr>
              <w:spacing w:line="360" w:lineRule="auto"/>
              <w:jc w:val="left"/>
              <w:rPr>
                <w:kern w:val="0"/>
                <w:szCs w:val="21"/>
              </w:rPr>
            </w:pPr>
          </w:p>
          <w:p>
            <w:pPr>
              <w:spacing w:line="360" w:lineRule="auto"/>
              <w:jc w:val="left"/>
              <w:rPr>
                <w:kern w:val="0"/>
                <w:szCs w:val="21"/>
              </w:rPr>
            </w:pPr>
          </w:p>
        </w:tc>
      </w:tr>
    </w:tbl>
    <w:p>
      <w:pPr>
        <w:pStyle w:val="17"/>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1"/>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jc w:val="center"/>
        </w:trPr>
        <w:tc>
          <w:tcPr>
            <w:tcW w:w="540" w:type="dxa"/>
            <w:tcMar>
              <w:left w:w="28" w:type="dxa"/>
              <w:right w:w="28" w:type="dxa"/>
            </w:tcMar>
            <w:vAlign w:val="center"/>
          </w:tcPr>
          <w:p>
            <w:pPr>
              <w:pStyle w:val="17"/>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施工</w:t>
            </w:r>
          </w:p>
          <w:p>
            <w:pPr>
              <w:pStyle w:val="17"/>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期环</w:t>
            </w:r>
          </w:p>
          <w:p>
            <w:pPr>
              <w:pStyle w:val="17"/>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境保</w:t>
            </w:r>
          </w:p>
          <w:p>
            <w:pPr>
              <w:pStyle w:val="17"/>
              <w:adjustRightInd w:val="0"/>
              <w:snapToGrid w:val="0"/>
              <w:spacing w:before="0" w:beforeAutospacing="0" w:after="0" w:afterAutospacing="0"/>
              <w:jc w:val="center"/>
              <w:rPr>
                <w:rFonts w:ascii="Times New Roman" w:hAnsi="Times New Roman"/>
                <w:kern w:val="2"/>
                <w:sz w:val="21"/>
                <w:szCs w:val="21"/>
              </w:rPr>
            </w:pPr>
            <w:r>
              <w:rPr>
                <w:rFonts w:ascii="Times New Roman" w:hAnsi="Times New Roman"/>
                <w:kern w:val="2"/>
                <w:sz w:val="21"/>
                <w:szCs w:val="21"/>
              </w:rPr>
              <w:t>护措</w:t>
            </w:r>
          </w:p>
          <w:p>
            <w:pPr>
              <w:pStyle w:val="17"/>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 w:val="21"/>
                <w:szCs w:val="21"/>
              </w:rPr>
              <w:t>施</w:t>
            </w:r>
          </w:p>
        </w:tc>
        <w:tc>
          <w:tcPr>
            <w:tcW w:w="8368" w:type="dxa"/>
            <w:vAlign w:val="center"/>
          </w:tcPr>
          <w:p>
            <w:pPr>
              <w:adjustRightInd w:val="0"/>
              <w:snapToGrid w:val="0"/>
              <w:spacing w:line="360" w:lineRule="auto"/>
              <w:ind w:firstLine="420" w:firstLineChars="200"/>
            </w:pPr>
            <w:r>
              <w:t>本项目在已建厂房内进行生产，施工期主要是在已建生产车间内进行设备的安装和调试，不涉及厂房施工建设，所以无施工粉尘、噪声以及建筑垃圾产生。本项目施工期运输设备的汽车进出产生少量的汽车尾气不予考虑；管道敷设和设备安装产生的噪声经过现有厂房的隔声后不会对附近产生噪声影响。</w:t>
            </w:r>
          </w:p>
          <w:p>
            <w:pPr>
              <w:adjustRightInd w:val="0"/>
              <w:snapToGrid w:val="0"/>
              <w:spacing w:line="360" w:lineRule="auto"/>
              <w:ind w:firstLine="420" w:firstLineChars="200"/>
            </w:pPr>
            <w:r>
              <w:t>所以本项目的施工期过程简单，对周边环境影响较小。</w:t>
            </w:r>
          </w:p>
          <w:p>
            <w:pPr>
              <w:adjustRightInd w:val="0"/>
              <w:snapToGrid w:val="0"/>
              <w:spacing w:line="360" w:lineRule="auto"/>
              <w:ind w:firstLine="420" w:firstLineChars="200"/>
            </w:pPr>
            <w:r>
              <w:t>以下就噪声及固废对环境的影响加以分析，并提出相应的防治措施。</w:t>
            </w:r>
          </w:p>
          <w:p>
            <w:pPr>
              <w:adjustRightInd w:val="0"/>
              <w:snapToGrid w:val="0"/>
              <w:spacing w:line="360" w:lineRule="auto"/>
              <w:ind w:firstLine="420" w:firstLineChars="200"/>
              <w:rPr>
                <w:szCs w:val="21"/>
              </w:rPr>
            </w:pPr>
            <w:r>
              <w:t>（1）施工期噪声影响分析及防治</w:t>
            </w:r>
          </w:p>
          <w:p>
            <w:pPr>
              <w:adjustRightInd w:val="0"/>
              <w:snapToGrid w:val="0"/>
              <w:spacing w:line="360" w:lineRule="auto"/>
              <w:ind w:firstLine="420" w:firstLineChars="200"/>
            </w:pPr>
            <w:r>
              <w:t xml:space="preserve">由于安装设备一般于白天作业，应加强对设备安装的管理和操作人员的环境意识教育，严格控制设备运输及安装过程中噪声，降低对周围环境的噪声影响。 </w:t>
            </w:r>
          </w:p>
          <w:p>
            <w:pPr>
              <w:adjustRightInd w:val="0"/>
              <w:snapToGrid w:val="0"/>
              <w:spacing w:line="360" w:lineRule="auto"/>
              <w:ind w:firstLine="420" w:firstLineChars="200"/>
            </w:pPr>
            <w:r>
              <w:t>（2）施工期固废影响分析及防治对策</w:t>
            </w:r>
          </w:p>
          <w:p>
            <w:pPr>
              <w:adjustRightInd w:val="0"/>
              <w:snapToGrid w:val="0"/>
              <w:spacing w:line="360" w:lineRule="auto"/>
              <w:ind w:firstLine="420" w:firstLineChars="200"/>
            </w:pPr>
            <w:r>
              <w:t>设备安装期间产生的固废主要是设备包装材料以及废安装材料。</w:t>
            </w:r>
          </w:p>
          <w:p>
            <w:pPr>
              <w:adjustRightInd w:val="0"/>
              <w:snapToGrid w:val="0"/>
              <w:spacing w:line="360" w:lineRule="auto"/>
              <w:ind w:firstLine="420" w:firstLineChars="200"/>
            </w:pPr>
            <w:r>
              <w:t>安装设备过程中产生的废包装及废材料应及时集中收集处理，并及时清运，一般</w:t>
            </w:r>
            <w:r>
              <w:rPr>
                <w:rFonts w:hint="eastAsia"/>
                <w:lang w:val="en-US" w:eastAsia="zh-CN"/>
              </w:rPr>
              <w:t>固废</w:t>
            </w:r>
            <w:r>
              <w:t>外卖至固废回收站，从而维护厂区的环境卫生，保证产品质量。装修期间及时清理现场的废弃物；同时加强对装修人员的教育，不随意乱丢废弃物，倡导文明和绿色施工。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35" w:hRule="atLeast"/>
          <w:jc w:val="center"/>
        </w:trPr>
        <w:tc>
          <w:tcPr>
            <w:tcW w:w="540" w:type="dxa"/>
            <w:tcMar>
              <w:left w:w="28" w:type="dxa"/>
              <w:right w:w="28" w:type="dxa"/>
            </w:tcMar>
            <w:vAlign w:val="center"/>
          </w:tcPr>
          <w:p>
            <w:pPr>
              <w:adjustRightInd w:val="0"/>
              <w:snapToGrid w:val="0"/>
              <w:jc w:val="center"/>
              <w:rPr>
                <w:bCs/>
                <w:szCs w:val="21"/>
              </w:rPr>
            </w:pPr>
            <w:r>
              <w:rPr>
                <w:bCs/>
                <w:szCs w:val="21"/>
              </w:rPr>
              <w:t>运营</w:t>
            </w:r>
          </w:p>
          <w:p>
            <w:pPr>
              <w:adjustRightInd w:val="0"/>
              <w:snapToGrid w:val="0"/>
              <w:jc w:val="center"/>
              <w:rPr>
                <w:bCs/>
                <w:szCs w:val="21"/>
              </w:rPr>
            </w:pPr>
            <w:r>
              <w:rPr>
                <w:bCs/>
                <w:szCs w:val="21"/>
              </w:rPr>
              <w:t>期环</w:t>
            </w:r>
          </w:p>
          <w:p>
            <w:pPr>
              <w:adjustRightInd w:val="0"/>
              <w:snapToGrid w:val="0"/>
              <w:jc w:val="center"/>
              <w:rPr>
                <w:bCs/>
                <w:szCs w:val="21"/>
              </w:rPr>
            </w:pPr>
            <w:r>
              <w:rPr>
                <w:bCs/>
                <w:szCs w:val="21"/>
              </w:rPr>
              <w:t>境影</w:t>
            </w:r>
          </w:p>
          <w:p>
            <w:pPr>
              <w:adjustRightInd w:val="0"/>
              <w:snapToGrid w:val="0"/>
              <w:jc w:val="center"/>
              <w:rPr>
                <w:bCs/>
                <w:szCs w:val="21"/>
              </w:rPr>
            </w:pPr>
            <w:r>
              <w:rPr>
                <w:bCs/>
                <w:szCs w:val="21"/>
              </w:rPr>
              <w:t>响和</w:t>
            </w:r>
          </w:p>
          <w:p>
            <w:pPr>
              <w:adjustRightInd w:val="0"/>
              <w:snapToGrid w:val="0"/>
              <w:jc w:val="center"/>
              <w:rPr>
                <w:bCs/>
                <w:szCs w:val="21"/>
              </w:rPr>
            </w:pPr>
            <w:r>
              <w:rPr>
                <w:bCs/>
                <w:szCs w:val="21"/>
              </w:rPr>
              <w:t>保护</w:t>
            </w:r>
          </w:p>
          <w:p>
            <w:pPr>
              <w:adjustRightInd w:val="0"/>
              <w:snapToGrid w:val="0"/>
              <w:jc w:val="center"/>
              <w:rPr>
                <w:bCs/>
                <w:szCs w:val="21"/>
              </w:rPr>
            </w:pPr>
            <w:r>
              <w:rPr>
                <w:bCs/>
                <w:szCs w:val="21"/>
              </w:rPr>
              <w:t>措施</w:t>
            </w:r>
          </w:p>
        </w:tc>
        <w:tc>
          <w:tcPr>
            <w:tcW w:w="8368" w:type="dxa"/>
            <w:vAlign w:val="center"/>
          </w:tcPr>
          <w:p>
            <w:pPr>
              <w:numPr>
                <w:ilvl w:val="0"/>
                <w:numId w:val="7"/>
              </w:numPr>
              <w:spacing w:line="360" w:lineRule="auto"/>
              <w:ind w:firstLine="422" w:firstLineChars="200"/>
              <w:rPr>
                <w:szCs w:val="21"/>
              </w:rPr>
            </w:pPr>
            <w:r>
              <w:rPr>
                <w:rFonts w:hint="eastAsia"/>
                <w:b/>
                <w:bCs/>
                <w:szCs w:val="21"/>
              </w:rPr>
              <w:t>运营期</w:t>
            </w:r>
            <w:r>
              <w:rPr>
                <w:b/>
                <w:bCs/>
                <w:szCs w:val="21"/>
              </w:rPr>
              <w:t>水环境影响和保护措施</w:t>
            </w:r>
          </w:p>
          <w:p>
            <w:pPr>
              <w:pStyle w:val="8"/>
              <w:snapToGrid/>
              <w:spacing w:before="0" w:after="0" w:line="360" w:lineRule="auto"/>
              <w:ind w:right="0" w:firstLine="422" w:firstLineChars="200"/>
              <w:rPr>
                <w:b/>
                <w:bCs/>
                <w:sz w:val="21"/>
                <w:szCs w:val="21"/>
              </w:rPr>
            </w:pPr>
            <w:r>
              <w:rPr>
                <w:b/>
                <w:bCs/>
                <w:sz w:val="21"/>
                <w:szCs w:val="21"/>
              </w:rPr>
              <w:t>1、废水</w:t>
            </w:r>
            <w:r>
              <w:rPr>
                <w:rFonts w:hint="eastAsia"/>
                <w:b/>
                <w:bCs/>
                <w:sz w:val="21"/>
                <w:szCs w:val="21"/>
              </w:rPr>
              <w:t>产排污情况</w:t>
            </w:r>
          </w:p>
          <w:p>
            <w:pPr>
              <w:pStyle w:val="9"/>
              <w:numPr>
                <w:ilvl w:val="0"/>
                <w:numId w:val="0"/>
              </w:numPr>
              <w:spacing w:line="360" w:lineRule="auto"/>
              <w:ind w:firstLine="420" w:firstLineChars="200"/>
              <w:rPr>
                <w:szCs w:val="21"/>
              </w:rPr>
            </w:pPr>
            <w:r>
              <w:rPr>
                <w:szCs w:val="21"/>
              </w:rPr>
              <w:t>本项目建成后</w:t>
            </w:r>
            <w:r>
              <w:rPr>
                <w:rFonts w:hint="eastAsia"/>
                <w:szCs w:val="21"/>
              </w:rPr>
              <w:t>涉及的废水为生活用水；涉及</w:t>
            </w:r>
            <w:r>
              <w:rPr>
                <w:szCs w:val="21"/>
              </w:rPr>
              <w:t>排放</w:t>
            </w:r>
            <w:r>
              <w:rPr>
                <w:rFonts w:hint="eastAsia"/>
                <w:szCs w:val="21"/>
              </w:rPr>
              <w:t>的</w:t>
            </w:r>
            <w:r>
              <w:rPr>
                <w:szCs w:val="21"/>
              </w:rPr>
              <w:t>主要废水为生活污水。</w:t>
            </w:r>
          </w:p>
          <w:p>
            <w:pPr>
              <w:pStyle w:val="9"/>
              <w:numPr>
                <w:ilvl w:val="0"/>
                <w:numId w:val="0"/>
              </w:numPr>
              <w:spacing w:line="360" w:lineRule="auto"/>
              <w:ind w:firstLine="420" w:firstLineChars="200"/>
              <w:rPr>
                <w:szCs w:val="21"/>
              </w:rPr>
            </w:pPr>
            <w:r>
              <w:rPr>
                <w:szCs w:val="21"/>
              </w:rPr>
              <w:t>本项目需员工</w:t>
            </w:r>
            <w:r>
              <w:rPr>
                <w:rFonts w:hint="eastAsia"/>
                <w:szCs w:val="21"/>
                <w:lang w:val="en-US" w:eastAsia="zh-CN"/>
              </w:rPr>
              <w:t>8</w:t>
            </w:r>
            <w:r>
              <w:rPr>
                <w:szCs w:val="21"/>
              </w:rPr>
              <w:t>人</w:t>
            </w:r>
            <w:r>
              <w:rPr>
                <w:rFonts w:hint="eastAsia"/>
                <w:szCs w:val="21"/>
              </w:rPr>
              <w:t>，参照《常州市工业和城市生活用水定额》，厂区职工生活用水量以100L/d·人</w:t>
            </w:r>
            <w:r>
              <w:rPr>
                <w:rFonts w:hint="eastAsia"/>
                <w:szCs w:val="21"/>
                <w:lang w:val="en-US" w:eastAsia="zh-CN"/>
              </w:rPr>
              <w:t>计</w:t>
            </w:r>
            <w:r>
              <w:rPr>
                <w:szCs w:val="21"/>
              </w:rPr>
              <w:t>，年工作300天，据此预计本项目生活用水量为</w:t>
            </w:r>
            <w:r>
              <w:rPr>
                <w:rFonts w:hint="eastAsia"/>
                <w:szCs w:val="21"/>
                <w:lang w:val="en-US" w:eastAsia="zh-CN"/>
              </w:rPr>
              <w:t>8</w:t>
            </w:r>
            <w:r>
              <w:rPr>
                <w:szCs w:val="21"/>
              </w:rPr>
              <w:t>×100×300/1000=</w:t>
            </w:r>
            <w:r>
              <w:rPr>
                <w:rFonts w:hint="eastAsia"/>
                <w:szCs w:val="21"/>
                <w:lang w:val="en-US" w:eastAsia="zh-CN"/>
              </w:rPr>
              <w:t>240</w:t>
            </w:r>
            <w:r>
              <w:rPr>
                <w:szCs w:val="21"/>
              </w:rPr>
              <w:t>t/a，产污系数按0.8计，则生活污水产生量为</w:t>
            </w:r>
            <w:r>
              <w:rPr>
                <w:rFonts w:hint="eastAsia"/>
                <w:szCs w:val="21"/>
                <w:lang w:val="en-US" w:eastAsia="zh-CN"/>
              </w:rPr>
              <w:t>240</w:t>
            </w:r>
            <w:r>
              <w:rPr>
                <w:szCs w:val="21"/>
              </w:rPr>
              <w:t>×0.8=</w:t>
            </w:r>
            <w:r>
              <w:rPr>
                <w:rFonts w:hint="eastAsia"/>
                <w:szCs w:val="21"/>
                <w:lang w:val="en-US" w:eastAsia="zh-CN"/>
              </w:rPr>
              <w:t>192</w:t>
            </w:r>
            <w:r>
              <w:rPr>
                <w:szCs w:val="21"/>
              </w:rPr>
              <w:t>t/a，经市政污水管网接入常州武南污水处理厂集中处理，达标尾水排入武南河。</w:t>
            </w:r>
          </w:p>
          <w:p>
            <w:pPr>
              <w:pStyle w:val="9"/>
              <w:numPr>
                <w:ilvl w:val="0"/>
                <w:numId w:val="0"/>
              </w:numPr>
              <w:spacing w:line="360" w:lineRule="auto"/>
              <w:ind w:firstLine="420" w:firstLineChars="200"/>
              <w:rPr>
                <w:szCs w:val="21"/>
              </w:rPr>
            </w:pPr>
            <w:r>
              <w:rPr>
                <w:szCs w:val="21"/>
              </w:rPr>
              <w:t>本项目废水污染物产生及</w:t>
            </w:r>
            <w:r>
              <w:rPr>
                <w:rFonts w:hint="eastAsia"/>
                <w:szCs w:val="21"/>
              </w:rPr>
              <w:t>排放</w:t>
            </w:r>
            <w:r>
              <w:rPr>
                <w:szCs w:val="21"/>
              </w:rPr>
              <w:t>量见表</w:t>
            </w:r>
            <w:r>
              <w:rPr>
                <w:rFonts w:hint="eastAsia"/>
                <w:szCs w:val="21"/>
              </w:rPr>
              <w:t>4</w:t>
            </w:r>
            <w:r>
              <w:rPr>
                <w:szCs w:val="21"/>
              </w:rPr>
              <w:t>-1。</w:t>
            </w:r>
          </w:p>
          <w:p>
            <w:pPr>
              <w:pStyle w:val="9"/>
              <w:numPr>
                <w:ilvl w:val="0"/>
                <w:numId w:val="0"/>
              </w:numPr>
              <w:spacing w:line="360" w:lineRule="auto"/>
              <w:jc w:val="center"/>
              <w:rPr>
                <w:b/>
                <w:bCs/>
                <w:szCs w:val="21"/>
              </w:rPr>
            </w:pPr>
            <w:r>
              <w:rPr>
                <w:b/>
                <w:bCs/>
                <w:szCs w:val="21"/>
              </w:rPr>
              <w:t>表</w:t>
            </w:r>
            <w:r>
              <w:rPr>
                <w:rFonts w:hint="eastAsia"/>
                <w:b/>
                <w:bCs/>
                <w:szCs w:val="21"/>
              </w:rPr>
              <w:t>4</w:t>
            </w:r>
            <w:r>
              <w:rPr>
                <w:b/>
                <w:bCs/>
                <w:szCs w:val="21"/>
              </w:rPr>
              <w:t>-1  本项目水污染物产生排放量一览表</w:t>
            </w:r>
          </w:p>
          <w:tbl>
            <w:tblPr>
              <w:tblStyle w:val="21"/>
              <w:tblW w:w="8152"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840"/>
              <w:gridCol w:w="900"/>
              <w:gridCol w:w="652"/>
              <w:gridCol w:w="870"/>
              <w:gridCol w:w="638"/>
              <w:gridCol w:w="686"/>
              <w:gridCol w:w="908"/>
              <w:gridCol w:w="16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42" w:type="dxa"/>
                  <w:vMerge w:val="restart"/>
                  <w:tcBorders>
                    <w:tl2br w:val="nil"/>
                    <w:tr2bl w:val="nil"/>
                  </w:tcBorders>
                  <w:tcMar>
                    <w:top w:w="0" w:type="dxa"/>
                    <w:left w:w="0" w:type="dxa"/>
                    <w:bottom w:w="0" w:type="dxa"/>
                    <w:right w:w="0" w:type="dxa"/>
                  </w:tcMar>
                  <w:vAlign w:val="center"/>
                </w:tcPr>
                <w:p>
                  <w:pPr>
                    <w:autoSpaceDN w:val="0"/>
                    <w:jc w:val="center"/>
                    <w:rPr>
                      <w:b/>
                      <w:bCs/>
                      <w:szCs w:val="21"/>
                    </w:rPr>
                  </w:pPr>
                  <w:r>
                    <w:rPr>
                      <w:b/>
                      <w:bCs/>
                      <w:szCs w:val="21"/>
                    </w:rPr>
                    <w:t>废水</w:t>
                  </w:r>
                </w:p>
                <w:p>
                  <w:pPr>
                    <w:autoSpaceDN w:val="0"/>
                    <w:jc w:val="center"/>
                    <w:rPr>
                      <w:b/>
                      <w:bCs/>
                      <w:szCs w:val="21"/>
                    </w:rPr>
                  </w:pPr>
                  <w:r>
                    <w:rPr>
                      <w:b/>
                      <w:bCs/>
                      <w:szCs w:val="21"/>
                    </w:rPr>
                    <w:t>来源</w:t>
                  </w:r>
                </w:p>
              </w:tc>
              <w:tc>
                <w:tcPr>
                  <w:tcW w:w="840" w:type="dxa"/>
                  <w:vMerge w:val="restart"/>
                  <w:tcBorders>
                    <w:tl2br w:val="nil"/>
                    <w:tr2bl w:val="nil"/>
                  </w:tcBorders>
                  <w:tcMar>
                    <w:top w:w="0" w:type="dxa"/>
                    <w:left w:w="0" w:type="dxa"/>
                    <w:bottom w:w="0" w:type="dxa"/>
                    <w:right w:w="0" w:type="dxa"/>
                  </w:tcMar>
                  <w:vAlign w:val="center"/>
                </w:tcPr>
                <w:p>
                  <w:pPr>
                    <w:autoSpaceDN w:val="0"/>
                    <w:jc w:val="center"/>
                    <w:rPr>
                      <w:b/>
                      <w:bCs/>
                      <w:szCs w:val="21"/>
                    </w:rPr>
                  </w:pPr>
                  <w:r>
                    <w:rPr>
                      <w:b/>
                      <w:bCs/>
                      <w:szCs w:val="21"/>
                    </w:rPr>
                    <w:t>废水量</w:t>
                  </w:r>
                </w:p>
                <w:p>
                  <w:pPr>
                    <w:autoSpaceDN w:val="0"/>
                    <w:jc w:val="center"/>
                    <w:rPr>
                      <w:b/>
                      <w:bCs/>
                      <w:szCs w:val="21"/>
                    </w:rPr>
                  </w:pPr>
                  <w:r>
                    <w:rPr>
                      <w:b/>
                      <w:bCs/>
                      <w:szCs w:val="21"/>
                    </w:rPr>
                    <w:t>m</w:t>
                  </w:r>
                  <w:r>
                    <w:rPr>
                      <w:b/>
                      <w:bCs/>
                      <w:szCs w:val="21"/>
                      <w:vertAlign w:val="superscript"/>
                    </w:rPr>
                    <w:t>3</w:t>
                  </w:r>
                  <w:r>
                    <w:rPr>
                      <w:b/>
                      <w:bCs/>
                      <w:szCs w:val="21"/>
                    </w:rPr>
                    <w:t>/a</w:t>
                  </w:r>
                </w:p>
              </w:tc>
              <w:tc>
                <w:tcPr>
                  <w:tcW w:w="900" w:type="dxa"/>
                  <w:vMerge w:val="restart"/>
                  <w:tcBorders>
                    <w:tl2br w:val="nil"/>
                    <w:tr2bl w:val="nil"/>
                  </w:tcBorders>
                  <w:tcMar>
                    <w:top w:w="0" w:type="dxa"/>
                    <w:left w:w="0" w:type="dxa"/>
                    <w:bottom w:w="0" w:type="dxa"/>
                    <w:right w:w="0" w:type="dxa"/>
                  </w:tcMar>
                  <w:vAlign w:val="center"/>
                </w:tcPr>
                <w:p>
                  <w:pPr>
                    <w:autoSpaceDN w:val="0"/>
                    <w:jc w:val="center"/>
                    <w:rPr>
                      <w:b/>
                      <w:bCs/>
                      <w:szCs w:val="21"/>
                    </w:rPr>
                  </w:pPr>
                  <w:r>
                    <w:rPr>
                      <w:b/>
                      <w:bCs/>
                      <w:szCs w:val="21"/>
                    </w:rPr>
                    <w:t>污染物</w:t>
                  </w:r>
                </w:p>
                <w:p>
                  <w:pPr>
                    <w:autoSpaceDN w:val="0"/>
                    <w:jc w:val="center"/>
                    <w:rPr>
                      <w:b/>
                      <w:bCs/>
                      <w:szCs w:val="21"/>
                    </w:rPr>
                  </w:pPr>
                  <w:r>
                    <w:rPr>
                      <w:b/>
                      <w:bCs/>
                      <w:szCs w:val="21"/>
                    </w:rPr>
                    <w:t>名称</w:t>
                  </w:r>
                </w:p>
              </w:tc>
              <w:tc>
                <w:tcPr>
                  <w:tcW w:w="1522" w:type="dxa"/>
                  <w:gridSpan w:val="2"/>
                  <w:tcBorders>
                    <w:tl2br w:val="nil"/>
                    <w:tr2bl w:val="nil"/>
                  </w:tcBorders>
                  <w:tcMar>
                    <w:top w:w="0" w:type="dxa"/>
                    <w:left w:w="0" w:type="dxa"/>
                    <w:bottom w:w="0" w:type="dxa"/>
                    <w:right w:w="0" w:type="dxa"/>
                  </w:tcMar>
                  <w:vAlign w:val="center"/>
                </w:tcPr>
                <w:p>
                  <w:pPr>
                    <w:autoSpaceDN w:val="0"/>
                    <w:jc w:val="center"/>
                    <w:rPr>
                      <w:b/>
                      <w:bCs/>
                      <w:szCs w:val="21"/>
                    </w:rPr>
                  </w:pPr>
                  <w:r>
                    <w:rPr>
                      <w:b/>
                      <w:bCs/>
                      <w:szCs w:val="21"/>
                    </w:rPr>
                    <w:t>污染物产生量</w:t>
                  </w:r>
                </w:p>
              </w:tc>
              <w:tc>
                <w:tcPr>
                  <w:tcW w:w="638" w:type="dxa"/>
                  <w:vMerge w:val="restart"/>
                  <w:tcBorders>
                    <w:tl2br w:val="nil"/>
                    <w:tr2bl w:val="nil"/>
                  </w:tcBorders>
                  <w:tcMar>
                    <w:top w:w="0" w:type="dxa"/>
                    <w:left w:w="0" w:type="dxa"/>
                    <w:bottom w:w="0" w:type="dxa"/>
                    <w:right w:w="0" w:type="dxa"/>
                  </w:tcMar>
                  <w:vAlign w:val="center"/>
                </w:tcPr>
                <w:p>
                  <w:pPr>
                    <w:autoSpaceDN w:val="0"/>
                    <w:jc w:val="center"/>
                    <w:rPr>
                      <w:b/>
                      <w:bCs/>
                      <w:szCs w:val="21"/>
                    </w:rPr>
                  </w:pPr>
                  <w:r>
                    <w:rPr>
                      <w:b/>
                      <w:bCs/>
                      <w:szCs w:val="21"/>
                    </w:rPr>
                    <w:t>治理</w:t>
                  </w:r>
                </w:p>
                <w:p>
                  <w:pPr>
                    <w:autoSpaceDN w:val="0"/>
                    <w:jc w:val="center"/>
                    <w:rPr>
                      <w:b/>
                      <w:bCs/>
                      <w:szCs w:val="21"/>
                    </w:rPr>
                  </w:pPr>
                  <w:r>
                    <w:rPr>
                      <w:b/>
                      <w:bCs/>
                      <w:szCs w:val="21"/>
                    </w:rPr>
                    <w:t>措施</w:t>
                  </w:r>
                </w:p>
              </w:tc>
              <w:tc>
                <w:tcPr>
                  <w:tcW w:w="1594" w:type="dxa"/>
                  <w:gridSpan w:val="2"/>
                  <w:tcBorders>
                    <w:tl2br w:val="nil"/>
                    <w:tr2bl w:val="nil"/>
                  </w:tcBorders>
                  <w:tcMar>
                    <w:top w:w="0" w:type="dxa"/>
                    <w:left w:w="0" w:type="dxa"/>
                    <w:bottom w:w="0" w:type="dxa"/>
                    <w:right w:w="0" w:type="dxa"/>
                  </w:tcMar>
                  <w:vAlign w:val="center"/>
                </w:tcPr>
                <w:p>
                  <w:pPr>
                    <w:autoSpaceDN w:val="0"/>
                    <w:jc w:val="center"/>
                    <w:rPr>
                      <w:b/>
                      <w:bCs/>
                      <w:szCs w:val="21"/>
                    </w:rPr>
                  </w:pPr>
                  <w:r>
                    <w:rPr>
                      <w:b/>
                      <w:bCs/>
                      <w:szCs w:val="21"/>
                    </w:rPr>
                    <w:t>污染物排放量</w:t>
                  </w:r>
                </w:p>
              </w:tc>
              <w:tc>
                <w:tcPr>
                  <w:tcW w:w="1616" w:type="dxa"/>
                  <w:vMerge w:val="restart"/>
                  <w:tcBorders>
                    <w:tl2br w:val="nil"/>
                    <w:tr2bl w:val="nil"/>
                  </w:tcBorders>
                  <w:tcMar>
                    <w:top w:w="0" w:type="dxa"/>
                    <w:left w:w="0" w:type="dxa"/>
                    <w:bottom w:w="0" w:type="dxa"/>
                    <w:right w:w="0" w:type="dxa"/>
                  </w:tcMar>
                  <w:vAlign w:val="center"/>
                </w:tcPr>
                <w:p>
                  <w:pPr>
                    <w:autoSpaceDN w:val="0"/>
                    <w:jc w:val="center"/>
                    <w:rPr>
                      <w:b/>
                      <w:bCs/>
                      <w:szCs w:val="21"/>
                    </w:rPr>
                  </w:pPr>
                  <w:r>
                    <w:rPr>
                      <w:b/>
                      <w:bCs/>
                      <w:szCs w:val="21"/>
                    </w:rPr>
                    <w:t>排放方式与去向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042" w:type="dxa"/>
                  <w:vMerge w:val="continue"/>
                  <w:tcBorders>
                    <w:tl2br w:val="nil"/>
                    <w:tr2bl w:val="nil"/>
                  </w:tcBorders>
                  <w:vAlign w:val="center"/>
                </w:tcPr>
                <w:p>
                  <w:pPr>
                    <w:autoSpaceDN w:val="0"/>
                    <w:jc w:val="center"/>
                    <w:rPr>
                      <w:szCs w:val="21"/>
                    </w:rPr>
                  </w:pPr>
                </w:p>
              </w:tc>
              <w:tc>
                <w:tcPr>
                  <w:tcW w:w="840" w:type="dxa"/>
                  <w:vMerge w:val="continue"/>
                  <w:tcBorders>
                    <w:tl2br w:val="nil"/>
                    <w:tr2bl w:val="nil"/>
                  </w:tcBorders>
                  <w:vAlign w:val="center"/>
                </w:tcPr>
                <w:p>
                  <w:pPr>
                    <w:autoSpaceDN w:val="0"/>
                    <w:jc w:val="center"/>
                    <w:rPr>
                      <w:szCs w:val="21"/>
                    </w:rPr>
                  </w:pPr>
                </w:p>
              </w:tc>
              <w:tc>
                <w:tcPr>
                  <w:tcW w:w="900" w:type="dxa"/>
                  <w:vMerge w:val="continue"/>
                  <w:tcBorders>
                    <w:tl2br w:val="nil"/>
                    <w:tr2bl w:val="nil"/>
                  </w:tcBorders>
                  <w:vAlign w:val="center"/>
                </w:tcPr>
                <w:p>
                  <w:pPr>
                    <w:autoSpaceDN w:val="0"/>
                    <w:jc w:val="center"/>
                    <w:rPr>
                      <w:szCs w:val="21"/>
                    </w:rPr>
                  </w:pPr>
                </w:p>
              </w:tc>
              <w:tc>
                <w:tcPr>
                  <w:tcW w:w="652" w:type="dxa"/>
                  <w:tcBorders>
                    <w:tl2br w:val="nil"/>
                    <w:tr2bl w:val="nil"/>
                  </w:tcBorders>
                  <w:tcMar>
                    <w:top w:w="0" w:type="dxa"/>
                    <w:left w:w="0" w:type="dxa"/>
                    <w:bottom w:w="0" w:type="dxa"/>
                    <w:right w:w="0" w:type="dxa"/>
                  </w:tcMar>
                  <w:vAlign w:val="center"/>
                </w:tcPr>
                <w:p>
                  <w:pPr>
                    <w:autoSpaceDN w:val="0"/>
                    <w:jc w:val="center"/>
                    <w:rPr>
                      <w:b/>
                      <w:bCs/>
                      <w:szCs w:val="21"/>
                    </w:rPr>
                  </w:pPr>
                  <w:r>
                    <w:rPr>
                      <w:b/>
                      <w:bCs/>
                      <w:szCs w:val="21"/>
                    </w:rPr>
                    <w:t>浓度</w:t>
                  </w:r>
                </w:p>
                <w:p>
                  <w:pPr>
                    <w:autoSpaceDN w:val="0"/>
                    <w:jc w:val="center"/>
                    <w:rPr>
                      <w:b/>
                      <w:bCs/>
                      <w:szCs w:val="21"/>
                    </w:rPr>
                  </w:pPr>
                  <w:r>
                    <w:rPr>
                      <w:b/>
                      <w:bCs/>
                      <w:szCs w:val="21"/>
                    </w:rPr>
                    <w:t>mg/L</w:t>
                  </w:r>
                </w:p>
              </w:tc>
              <w:tc>
                <w:tcPr>
                  <w:tcW w:w="870" w:type="dxa"/>
                  <w:tcBorders>
                    <w:tl2br w:val="nil"/>
                    <w:tr2bl w:val="nil"/>
                  </w:tcBorders>
                  <w:tcMar>
                    <w:top w:w="0" w:type="dxa"/>
                    <w:left w:w="0" w:type="dxa"/>
                    <w:bottom w:w="0" w:type="dxa"/>
                    <w:right w:w="0" w:type="dxa"/>
                  </w:tcMar>
                  <w:vAlign w:val="center"/>
                </w:tcPr>
                <w:p>
                  <w:pPr>
                    <w:autoSpaceDN w:val="0"/>
                    <w:jc w:val="center"/>
                    <w:rPr>
                      <w:b/>
                      <w:bCs/>
                      <w:szCs w:val="21"/>
                    </w:rPr>
                  </w:pPr>
                  <w:r>
                    <w:rPr>
                      <w:b/>
                      <w:bCs/>
                      <w:szCs w:val="21"/>
                    </w:rPr>
                    <w:t>产生量</w:t>
                  </w:r>
                </w:p>
                <w:p>
                  <w:pPr>
                    <w:autoSpaceDN w:val="0"/>
                    <w:jc w:val="center"/>
                    <w:rPr>
                      <w:b/>
                      <w:bCs/>
                      <w:szCs w:val="21"/>
                    </w:rPr>
                  </w:pPr>
                  <w:r>
                    <w:rPr>
                      <w:b/>
                      <w:bCs/>
                      <w:szCs w:val="21"/>
                    </w:rPr>
                    <w:t>t/a</w:t>
                  </w:r>
                </w:p>
              </w:tc>
              <w:tc>
                <w:tcPr>
                  <w:tcW w:w="638" w:type="dxa"/>
                  <w:vMerge w:val="continue"/>
                  <w:tcBorders>
                    <w:tl2br w:val="nil"/>
                    <w:tr2bl w:val="nil"/>
                  </w:tcBorders>
                  <w:vAlign w:val="center"/>
                </w:tcPr>
                <w:p>
                  <w:pPr>
                    <w:autoSpaceDN w:val="0"/>
                    <w:jc w:val="center"/>
                    <w:rPr>
                      <w:b/>
                      <w:bCs/>
                      <w:szCs w:val="21"/>
                    </w:rPr>
                  </w:pPr>
                </w:p>
              </w:tc>
              <w:tc>
                <w:tcPr>
                  <w:tcW w:w="686" w:type="dxa"/>
                  <w:tcBorders>
                    <w:tl2br w:val="nil"/>
                    <w:tr2bl w:val="nil"/>
                  </w:tcBorders>
                  <w:tcMar>
                    <w:top w:w="0" w:type="dxa"/>
                    <w:left w:w="0" w:type="dxa"/>
                    <w:bottom w:w="0" w:type="dxa"/>
                    <w:right w:w="0" w:type="dxa"/>
                  </w:tcMar>
                  <w:vAlign w:val="center"/>
                </w:tcPr>
                <w:p>
                  <w:pPr>
                    <w:autoSpaceDN w:val="0"/>
                    <w:jc w:val="center"/>
                    <w:rPr>
                      <w:b/>
                      <w:bCs/>
                      <w:szCs w:val="21"/>
                    </w:rPr>
                  </w:pPr>
                  <w:r>
                    <w:rPr>
                      <w:b/>
                      <w:bCs/>
                      <w:szCs w:val="21"/>
                    </w:rPr>
                    <w:t>浓度</w:t>
                  </w:r>
                </w:p>
                <w:p>
                  <w:pPr>
                    <w:autoSpaceDN w:val="0"/>
                    <w:jc w:val="center"/>
                    <w:rPr>
                      <w:b/>
                      <w:bCs/>
                      <w:szCs w:val="21"/>
                    </w:rPr>
                  </w:pPr>
                  <w:r>
                    <w:rPr>
                      <w:b/>
                      <w:bCs/>
                      <w:szCs w:val="21"/>
                    </w:rPr>
                    <w:t>mg/L</w:t>
                  </w:r>
                </w:p>
              </w:tc>
              <w:tc>
                <w:tcPr>
                  <w:tcW w:w="908" w:type="dxa"/>
                  <w:tcBorders>
                    <w:tl2br w:val="nil"/>
                    <w:tr2bl w:val="nil"/>
                  </w:tcBorders>
                  <w:tcMar>
                    <w:top w:w="0" w:type="dxa"/>
                    <w:left w:w="0" w:type="dxa"/>
                    <w:bottom w:w="0" w:type="dxa"/>
                    <w:right w:w="0" w:type="dxa"/>
                  </w:tcMar>
                  <w:vAlign w:val="center"/>
                </w:tcPr>
                <w:p>
                  <w:pPr>
                    <w:autoSpaceDN w:val="0"/>
                    <w:jc w:val="center"/>
                    <w:rPr>
                      <w:b/>
                      <w:bCs/>
                      <w:szCs w:val="21"/>
                    </w:rPr>
                  </w:pPr>
                  <w:r>
                    <w:rPr>
                      <w:b/>
                      <w:bCs/>
                      <w:szCs w:val="21"/>
                    </w:rPr>
                    <w:t>排放量</w:t>
                  </w:r>
                </w:p>
                <w:p>
                  <w:pPr>
                    <w:autoSpaceDN w:val="0"/>
                    <w:jc w:val="center"/>
                    <w:rPr>
                      <w:b/>
                      <w:bCs/>
                      <w:szCs w:val="21"/>
                    </w:rPr>
                  </w:pPr>
                  <w:r>
                    <w:rPr>
                      <w:b/>
                      <w:bCs/>
                      <w:szCs w:val="21"/>
                    </w:rPr>
                    <w:t>t/a</w:t>
                  </w:r>
                </w:p>
              </w:tc>
              <w:tc>
                <w:tcPr>
                  <w:tcW w:w="1616" w:type="dxa"/>
                  <w:vMerge w:val="continue"/>
                  <w:tcBorders>
                    <w:tl2br w:val="nil"/>
                    <w:tr2bl w:val="nil"/>
                  </w:tcBorders>
                  <w:vAlign w:val="center"/>
                </w:tcPr>
                <w:p>
                  <w:pPr>
                    <w:autoSpaceDN w:val="0"/>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trPr>
              <w:tc>
                <w:tcPr>
                  <w:tcW w:w="1042" w:type="dxa"/>
                  <w:vMerge w:val="restart"/>
                  <w:tcBorders>
                    <w:tl2br w:val="nil"/>
                    <w:tr2bl w:val="nil"/>
                  </w:tcBorders>
                  <w:vAlign w:val="center"/>
                </w:tcPr>
                <w:p>
                  <w:pPr>
                    <w:autoSpaceDN w:val="0"/>
                    <w:jc w:val="center"/>
                    <w:rPr>
                      <w:szCs w:val="21"/>
                    </w:rPr>
                  </w:pPr>
                  <w:r>
                    <w:rPr>
                      <w:szCs w:val="21"/>
                    </w:rPr>
                    <w:t>生活</w:t>
                  </w:r>
                </w:p>
                <w:p>
                  <w:pPr>
                    <w:autoSpaceDN w:val="0"/>
                    <w:jc w:val="center"/>
                    <w:rPr>
                      <w:szCs w:val="21"/>
                    </w:rPr>
                  </w:pPr>
                  <w:r>
                    <w:rPr>
                      <w:szCs w:val="21"/>
                    </w:rPr>
                    <w:t>污水</w:t>
                  </w:r>
                </w:p>
              </w:tc>
              <w:tc>
                <w:tcPr>
                  <w:tcW w:w="840" w:type="dxa"/>
                  <w:vMerge w:val="restart"/>
                  <w:tcBorders>
                    <w:tl2br w:val="nil"/>
                    <w:tr2bl w:val="nil"/>
                  </w:tcBorders>
                  <w:vAlign w:val="center"/>
                </w:tcPr>
                <w:p>
                  <w:pPr>
                    <w:autoSpaceDN w:val="0"/>
                    <w:jc w:val="center"/>
                    <w:rPr>
                      <w:rFonts w:hint="default" w:eastAsia="宋体"/>
                      <w:szCs w:val="21"/>
                      <w:lang w:val="en-US" w:eastAsia="zh-CN"/>
                    </w:rPr>
                  </w:pPr>
                  <w:r>
                    <w:rPr>
                      <w:rFonts w:hint="eastAsia"/>
                      <w:szCs w:val="21"/>
                      <w:lang w:val="en-US" w:eastAsia="zh-CN"/>
                    </w:rPr>
                    <w:t>192</w:t>
                  </w:r>
                </w:p>
              </w:tc>
              <w:tc>
                <w:tcPr>
                  <w:tcW w:w="900" w:type="dxa"/>
                  <w:tcBorders>
                    <w:tl2br w:val="nil"/>
                    <w:tr2bl w:val="nil"/>
                  </w:tcBorders>
                  <w:vAlign w:val="center"/>
                </w:tcPr>
                <w:p>
                  <w:pPr>
                    <w:autoSpaceDN w:val="0"/>
                    <w:jc w:val="center"/>
                    <w:rPr>
                      <w:szCs w:val="21"/>
                    </w:rPr>
                  </w:pPr>
                  <w:r>
                    <w:rPr>
                      <w:szCs w:val="21"/>
                    </w:rPr>
                    <w:t>COD</w:t>
                  </w:r>
                </w:p>
              </w:tc>
              <w:tc>
                <w:tcPr>
                  <w:tcW w:w="652" w:type="dxa"/>
                  <w:tcBorders>
                    <w:tl2br w:val="nil"/>
                    <w:tr2bl w:val="nil"/>
                  </w:tcBorders>
                  <w:vAlign w:val="center"/>
                </w:tcPr>
                <w:p>
                  <w:pPr>
                    <w:autoSpaceDN w:val="0"/>
                    <w:jc w:val="center"/>
                    <w:rPr>
                      <w:szCs w:val="21"/>
                    </w:rPr>
                  </w:pPr>
                  <w:r>
                    <w:rPr>
                      <w:szCs w:val="21"/>
                    </w:rPr>
                    <w:t>400</w:t>
                  </w:r>
                </w:p>
              </w:tc>
              <w:tc>
                <w:tcPr>
                  <w:tcW w:w="870" w:type="dxa"/>
                  <w:tcBorders>
                    <w:tl2br w:val="nil"/>
                    <w:tr2bl w:val="nil"/>
                  </w:tcBorders>
                  <w:vAlign w:val="center"/>
                </w:tcPr>
                <w:p>
                  <w:pPr>
                    <w:autoSpaceDN w:val="0"/>
                    <w:jc w:val="center"/>
                    <w:textAlignment w:val="center"/>
                    <w:rPr>
                      <w:rFonts w:hint="default" w:eastAsia="宋体"/>
                      <w:szCs w:val="21"/>
                      <w:lang w:val="en-US" w:eastAsia="zh-CN"/>
                    </w:rPr>
                  </w:pPr>
                  <w:r>
                    <w:rPr>
                      <w:rFonts w:hint="eastAsia"/>
                      <w:szCs w:val="21"/>
                      <w:lang w:val="en-US" w:eastAsia="zh-CN"/>
                    </w:rPr>
                    <w:t>0.077</w:t>
                  </w:r>
                </w:p>
              </w:tc>
              <w:tc>
                <w:tcPr>
                  <w:tcW w:w="638" w:type="dxa"/>
                  <w:vMerge w:val="restart"/>
                  <w:tcBorders>
                    <w:tl2br w:val="nil"/>
                    <w:tr2bl w:val="nil"/>
                  </w:tcBorders>
                  <w:vAlign w:val="center"/>
                </w:tcPr>
                <w:p>
                  <w:pPr>
                    <w:autoSpaceDN w:val="0"/>
                    <w:jc w:val="center"/>
                    <w:rPr>
                      <w:szCs w:val="21"/>
                    </w:rPr>
                  </w:pPr>
                  <w:r>
                    <w:rPr>
                      <w:szCs w:val="21"/>
                    </w:rPr>
                    <w:t>接管</w:t>
                  </w:r>
                </w:p>
              </w:tc>
              <w:tc>
                <w:tcPr>
                  <w:tcW w:w="686" w:type="dxa"/>
                  <w:tcBorders>
                    <w:tl2br w:val="nil"/>
                    <w:tr2bl w:val="nil"/>
                  </w:tcBorders>
                  <w:vAlign w:val="center"/>
                </w:tcPr>
                <w:p>
                  <w:pPr>
                    <w:autoSpaceDN w:val="0"/>
                    <w:jc w:val="center"/>
                    <w:rPr>
                      <w:szCs w:val="21"/>
                    </w:rPr>
                  </w:pPr>
                  <w:r>
                    <w:rPr>
                      <w:szCs w:val="21"/>
                    </w:rPr>
                    <w:t>400</w:t>
                  </w:r>
                </w:p>
              </w:tc>
              <w:tc>
                <w:tcPr>
                  <w:tcW w:w="908" w:type="dxa"/>
                  <w:tcBorders>
                    <w:tl2br w:val="nil"/>
                    <w:tr2bl w:val="nil"/>
                  </w:tcBorders>
                  <w:vAlign w:val="center"/>
                </w:tcPr>
                <w:p>
                  <w:pPr>
                    <w:autoSpaceDN w:val="0"/>
                    <w:jc w:val="center"/>
                    <w:textAlignment w:val="center"/>
                    <w:rPr>
                      <w:szCs w:val="21"/>
                    </w:rPr>
                  </w:pPr>
                  <w:r>
                    <w:rPr>
                      <w:rFonts w:hint="eastAsia"/>
                      <w:szCs w:val="21"/>
                      <w:lang w:val="en-US" w:eastAsia="zh-CN"/>
                    </w:rPr>
                    <w:t>0.077</w:t>
                  </w:r>
                </w:p>
              </w:tc>
              <w:tc>
                <w:tcPr>
                  <w:tcW w:w="1616" w:type="dxa"/>
                  <w:vMerge w:val="restart"/>
                  <w:tcBorders>
                    <w:tl2br w:val="nil"/>
                    <w:tr2bl w:val="nil"/>
                  </w:tcBorders>
                  <w:vAlign w:val="center"/>
                </w:tcPr>
                <w:p>
                  <w:pPr>
                    <w:autoSpaceDN w:val="0"/>
                    <w:jc w:val="center"/>
                    <w:rPr>
                      <w:szCs w:val="21"/>
                    </w:rPr>
                  </w:pPr>
                  <w:r>
                    <w:rPr>
                      <w:rFonts w:hint="eastAsia"/>
                      <w:szCs w:val="21"/>
                      <w:lang w:val="en-US" w:eastAsia="zh-CN"/>
                    </w:rPr>
                    <w:t>武南</w:t>
                  </w:r>
                  <w:r>
                    <w:rPr>
                      <w:szCs w:val="21"/>
                    </w:rPr>
                    <w:t>污水处理厂处理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 w:hRule="atLeast"/>
              </w:trPr>
              <w:tc>
                <w:tcPr>
                  <w:tcW w:w="1042" w:type="dxa"/>
                  <w:vMerge w:val="continue"/>
                  <w:tcBorders>
                    <w:tl2br w:val="nil"/>
                    <w:tr2bl w:val="nil"/>
                  </w:tcBorders>
                  <w:vAlign w:val="center"/>
                </w:tcPr>
                <w:p>
                  <w:pPr>
                    <w:autoSpaceDN w:val="0"/>
                    <w:jc w:val="center"/>
                    <w:rPr>
                      <w:szCs w:val="21"/>
                    </w:rPr>
                  </w:pPr>
                </w:p>
              </w:tc>
              <w:tc>
                <w:tcPr>
                  <w:tcW w:w="840" w:type="dxa"/>
                  <w:vMerge w:val="continue"/>
                  <w:tcBorders>
                    <w:tl2br w:val="nil"/>
                    <w:tr2bl w:val="nil"/>
                  </w:tcBorders>
                  <w:vAlign w:val="center"/>
                </w:tcPr>
                <w:p>
                  <w:pPr>
                    <w:autoSpaceDN w:val="0"/>
                    <w:jc w:val="center"/>
                    <w:rPr>
                      <w:szCs w:val="21"/>
                    </w:rPr>
                  </w:pPr>
                </w:p>
              </w:tc>
              <w:tc>
                <w:tcPr>
                  <w:tcW w:w="900" w:type="dxa"/>
                  <w:tcBorders>
                    <w:tl2br w:val="nil"/>
                    <w:tr2bl w:val="nil"/>
                  </w:tcBorders>
                  <w:vAlign w:val="center"/>
                </w:tcPr>
                <w:p>
                  <w:pPr>
                    <w:autoSpaceDN w:val="0"/>
                    <w:jc w:val="center"/>
                    <w:rPr>
                      <w:szCs w:val="21"/>
                    </w:rPr>
                  </w:pPr>
                  <w:r>
                    <w:rPr>
                      <w:szCs w:val="21"/>
                    </w:rPr>
                    <w:t>SS</w:t>
                  </w:r>
                </w:p>
              </w:tc>
              <w:tc>
                <w:tcPr>
                  <w:tcW w:w="652" w:type="dxa"/>
                  <w:tcBorders>
                    <w:tl2br w:val="nil"/>
                    <w:tr2bl w:val="nil"/>
                  </w:tcBorders>
                  <w:vAlign w:val="center"/>
                </w:tcPr>
                <w:p>
                  <w:pPr>
                    <w:autoSpaceDN w:val="0"/>
                    <w:jc w:val="center"/>
                    <w:rPr>
                      <w:szCs w:val="21"/>
                    </w:rPr>
                  </w:pPr>
                  <w:r>
                    <w:rPr>
                      <w:szCs w:val="21"/>
                    </w:rPr>
                    <w:t>300</w:t>
                  </w:r>
                </w:p>
              </w:tc>
              <w:tc>
                <w:tcPr>
                  <w:tcW w:w="870" w:type="dxa"/>
                  <w:tcBorders>
                    <w:tl2br w:val="nil"/>
                    <w:tr2bl w:val="nil"/>
                  </w:tcBorders>
                  <w:vAlign w:val="center"/>
                </w:tcPr>
                <w:p>
                  <w:pPr>
                    <w:autoSpaceDN w:val="0"/>
                    <w:jc w:val="center"/>
                    <w:textAlignment w:val="center"/>
                    <w:rPr>
                      <w:rFonts w:hint="default" w:eastAsia="宋体"/>
                      <w:szCs w:val="21"/>
                      <w:lang w:val="en-US" w:eastAsia="zh-CN"/>
                    </w:rPr>
                  </w:pPr>
                  <w:r>
                    <w:rPr>
                      <w:rFonts w:hint="eastAsia"/>
                      <w:szCs w:val="21"/>
                      <w:lang w:val="en-US" w:eastAsia="zh-CN"/>
                    </w:rPr>
                    <w:t>0.058</w:t>
                  </w:r>
                </w:p>
              </w:tc>
              <w:tc>
                <w:tcPr>
                  <w:tcW w:w="638" w:type="dxa"/>
                  <w:vMerge w:val="continue"/>
                  <w:tcBorders>
                    <w:tl2br w:val="nil"/>
                    <w:tr2bl w:val="nil"/>
                  </w:tcBorders>
                  <w:vAlign w:val="center"/>
                </w:tcPr>
                <w:p>
                  <w:pPr>
                    <w:autoSpaceDN w:val="0"/>
                    <w:jc w:val="center"/>
                    <w:rPr>
                      <w:szCs w:val="21"/>
                    </w:rPr>
                  </w:pPr>
                </w:p>
              </w:tc>
              <w:tc>
                <w:tcPr>
                  <w:tcW w:w="686" w:type="dxa"/>
                  <w:tcBorders>
                    <w:tl2br w:val="nil"/>
                    <w:tr2bl w:val="nil"/>
                  </w:tcBorders>
                  <w:vAlign w:val="center"/>
                </w:tcPr>
                <w:p>
                  <w:pPr>
                    <w:autoSpaceDN w:val="0"/>
                    <w:jc w:val="center"/>
                    <w:rPr>
                      <w:szCs w:val="21"/>
                    </w:rPr>
                  </w:pPr>
                  <w:r>
                    <w:rPr>
                      <w:szCs w:val="21"/>
                    </w:rPr>
                    <w:t>300</w:t>
                  </w:r>
                </w:p>
              </w:tc>
              <w:tc>
                <w:tcPr>
                  <w:tcW w:w="908" w:type="dxa"/>
                  <w:tcBorders>
                    <w:tl2br w:val="nil"/>
                    <w:tr2bl w:val="nil"/>
                  </w:tcBorders>
                  <w:vAlign w:val="center"/>
                </w:tcPr>
                <w:p>
                  <w:pPr>
                    <w:autoSpaceDN w:val="0"/>
                    <w:jc w:val="center"/>
                    <w:textAlignment w:val="center"/>
                    <w:rPr>
                      <w:szCs w:val="21"/>
                    </w:rPr>
                  </w:pPr>
                  <w:r>
                    <w:rPr>
                      <w:rFonts w:hint="eastAsia"/>
                      <w:szCs w:val="21"/>
                      <w:lang w:val="en-US" w:eastAsia="zh-CN"/>
                    </w:rPr>
                    <w:t>0.058</w:t>
                  </w:r>
                </w:p>
              </w:tc>
              <w:tc>
                <w:tcPr>
                  <w:tcW w:w="1616" w:type="dxa"/>
                  <w:vMerge w:val="continue"/>
                  <w:tcBorders>
                    <w:tl2br w:val="nil"/>
                    <w:tr2bl w:val="nil"/>
                  </w:tcBorders>
                  <w:vAlign w:val="center"/>
                </w:tcPr>
                <w:p>
                  <w:pPr>
                    <w:autoSpaceDN w:val="0"/>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trPr>
              <w:tc>
                <w:tcPr>
                  <w:tcW w:w="1042" w:type="dxa"/>
                  <w:vMerge w:val="continue"/>
                  <w:tcBorders>
                    <w:tl2br w:val="nil"/>
                    <w:tr2bl w:val="nil"/>
                  </w:tcBorders>
                  <w:vAlign w:val="center"/>
                </w:tcPr>
                <w:p>
                  <w:pPr>
                    <w:autoSpaceDN w:val="0"/>
                    <w:jc w:val="center"/>
                    <w:rPr>
                      <w:szCs w:val="21"/>
                    </w:rPr>
                  </w:pPr>
                </w:p>
              </w:tc>
              <w:tc>
                <w:tcPr>
                  <w:tcW w:w="840" w:type="dxa"/>
                  <w:vMerge w:val="continue"/>
                  <w:tcBorders>
                    <w:tl2br w:val="nil"/>
                    <w:tr2bl w:val="nil"/>
                  </w:tcBorders>
                  <w:vAlign w:val="center"/>
                </w:tcPr>
                <w:p>
                  <w:pPr>
                    <w:autoSpaceDN w:val="0"/>
                    <w:jc w:val="center"/>
                    <w:rPr>
                      <w:szCs w:val="21"/>
                    </w:rPr>
                  </w:pPr>
                </w:p>
              </w:tc>
              <w:tc>
                <w:tcPr>
                  <w:tcW w:w="900" w:type="dxa"/>
                  <w:tcBorders>
                    <w:tl2br w:val="nil"/>
                    <w:tr2bl w:val="nil"/>
                  </w:tcBorders>
                  <w:vAlign w:val="center"/>
                </w:tcPr>
                <w:p>
                  <w:pPr>
                    <w:autoSpaceDN w:val="0"/>
                    <w:jc w:val="center"/>
                    <w:rPr>
                      <w:szCs w:val="21"/>
                    </w:rPr>
                  </w:pPr>
                  <w:r>
                    <w:rPr>
                      <w:szCs w:val="21"/>
                    </w:rPr>
                    <w:t>NH</w:t>
                  </w:r>
                  <w:r>
                    <w:rPr>
                      <w:szCs w:val="21"/>
                      <w:vertAlign w:val="subscript"/>
                    </w:rPr>
                    <w:t>3</w:t>
                  </w:r>
                  <w:r>
                    <w:rPr>
                      <w:szCs w:val="21"/>
                    </w:rPr>
                    <w:t>-N</w:t>
                  </w:r>
                </w:p>
              </w:tc>
              <w:tc>
                <w:tcPr>
                  <w:tcW w:w="652" w:type="dxa"/>
                  <w:tcBorders>
                    <w:tl2br w:val="nil"/>
                    <w:tr2bl w:val="nil"/>
                  </w:tcBorders>
                  <w:vAlign w:val="center"/>
                </w:tcPr>
                <w:p>
                  <w:pPr>
                    <w:autoSpaceDN w:val="0"/>
                    <w:jc w:val="center"/>
                    <w:rPr>
                      <w:rFonts w:hint="default" w:eastAsia="宋体"/>
                      <w:szCs w:val="21"/>
                      <w:lang w:val="en-US" w:eastAsia="zh-CN"/>
                    </w:rPr>
                  </w:pPr>
                  <w:r>
                    <w:rPr>
                      <w:rFonts w:hint="eastAsia"/>
                      <w:szCs w:val="21"/>
                      <w:lang w:val="en-US" w:eastAsia="zh-CN"/>
                    </w:rPr>
                    <w:t>35</w:t>
                  </w:r>
                </w:p>
              </w:tc>
              <w:tc>
                <w:tcPr>
                  <w:tcW w:w="870" w:type="dxa"/>
                  <w:tcBorders>
                    <w:tl2br w:val="nil"/>
                    <w:tr2bl w:val="nil"/>
                  </w:tcBorders>
                  <w:vAlign w:val="center"/>
                </w:tcPr>
                <w:p>
                  <w:pPr>
                    <w:autoSpaceDN w:val="0"/>
                    <w:jc w:val="center"/>
                    <w:textAlignment w:val="center"/>
                    <w:rPr>
                      <w:rFonts w:hint="default" w:eastAsia="宋体"/>
                      <w:szCs w:val="21"/>
                      <w:lang w:val="en-US" w:eastAsia="zh-CN"/>
                    </w:rPr>
                  </w:pPr>
                  <w:r>
                    <w:rPr>
                      <w:rFonts w:hint="eastAsia"/>
                      <w:szCs w:val="21"/>
                      <w:lang w:val="en-US" w:eastAsia="zh-CN"/>
                    </w:rPr>
                    <w:t>0.0067</w:t>
                  </w:r>
                </w:p>
              </w:tc>
              <w:tc>
                <w:tcPr>
                  <w:tcW w:w="638" w:type="dxa"/>
                  <w:vMerge w:val="continue"/>
                  <w:tcBorders>
                    <w:tl2br w:val="nil"/>
                    <w:tr2bl w:val="nil"/>
                  </w:tcBorders>
                  <w:vAlign w:val="center"/>
                </w:tcPr>
                <w:p>
                  <w:pPr>
                    <w:autoSpaceDN w:val="0"/>
                    <w:jc w:val="center"/>
                    <w:rPr>
                      <w:szCs w:val="21"/>
                    </w:rPr>
                  </w:pPr>
                </w:p>
              </w:tc>
              <w:tc>
                <w:tcPr>
                  <w:tcW w:w="686" w:type="dxa"/>
                  <w:tcBorders>
                    <w:tl2br w:val="nil"/>
                    <w:tr2bl w:val="nil"/>
                  </w:tcBorders>
                  <w:vAlign w:val="center"/>
                </w:tcPr>
                <w:p>
                  <w:pPr>
                    <w:autoSpaceDN w:val="0"/>
                    <w:jc w:val="center"/>
                    <w:rPr>
                      <w:rFonts w:hint="default" w:eastAsia="宋体"/>
                      <w:szCs w:val="21"/>
                      <w:lang w:val="en-US" w:eastAsia="zh-CN"/>
                    </w:rPr>
                  </w:pPr>
                  <w:r>
                    <w:rPr>
                      <w:rFonts w:hint="eastAsia"/>
                      <w:szCs w:val="21"/>
                      <w:lang w:val="en-US" w:eastAsia="zh-CN"/>
                    </w:rPr>
                    <w:t>35</w:t>
                  </w:r>
                </w:p>
              </w:tc>
              <w:tc>
                <w:tcPr>
                  <w:tcW w:w="908" w:type="dxa"/>
                  <w:tcBorders>
                    <w:tl2br w:val="nil"/>
                    <w:tr2bl w:val="nil"/>
                  </w:tcBorders>
                  <w:vAlign w:val="center"/>
                </w:tcPr>
                <w:p>
                  <w:pPr>
                    <w:autoSpaceDN w:val="0"/>
                    <w:jc w:val="center"/>
                    <w:textAlignment w:val="center"/>
                    <w:rPr>
                      <w:szCs w:val="21"/>
                    </w:rPr>
                  </w:pPr>
                  <w:r>
                    <w:rPr>
                      <w:rFonts w:hint="eastAsia"/>
                      <w:szCs w:val="21"/>
                      <w:lang w:val="en-US" w:eastAsia="zh-CN"/>
                    </w:rPr>
                    <w:t>0.0067</w:t>
                  </w:r>
                </w:p>
              </w:tc>
              <w:tc>
                <w:tcPr>
                  <w:tcW w:w="1616" w:type="dxa"/>
                  <w:vMerge w:val="continue"/>
                  <w:tcBorders>
                    <w:tl2br w:val="nil"/>
                    <w:tr2bl w:val="nil"/>
                  </w:tcBorders>
                  <w:vAlign w:val="center"/>
                </w:tcPr>
                <w:p>
                  <w:pPr>
                    <w:autoSpaceDN w:val="0"/>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trPr>
              <w:tc>
                <w:tcPr>
                  <w:tcW w:w="1042" w:type="dxa"/>
                  <w:vMerge w:val="continue"/>
                  <w:tcBorders>
                    <w:tl2br w:val="nil"/>
                    <w:tr2bl w:val="nil"/>
                  </w:tcBorders>
                  <w:vAlign w:val="center"/>
                </w:tcPr>
                <w:p>
                  <w:pPr>
                    <w:autoSpaceDN w:val="0"/>
                    <w:jc w:val="center"/>
                    <w:rPr>
                      <w:szCs w:val="21"/>
                    </w:rPr>
                  </w:pPr>
                </w:p>
              </w:tc>
              <w:tc>
                <w:tcPr>
                  <w:tcW w:w="840" w:type="dxa"/>
                  <w:vMerge w:val="continue"/>
                  <w:tcBorders>
                    <w:tl2br w:val="nil"/>
                    <w:tr2bl w:val="nil"/>
                  </w:tcBorders>
                  <w:vAlign w:val="center"/>
                </w:tcPr>
                <w:p>
                  <w:pPr>
                    <w:autoSpaceDN w:val="0"/>
                    <w:jc w:val="center"/>
                    <w:rPr>
                      <w:szCs w:val="21"/>
                    </w:rPr>
                  </w:pPr>
                </w:p>
              </w:tc>
              <w:tc>
                <w:tcPr>
                  <w:tcW w:w="900" w:type="dxa"/>
                  <w:tcBorders>
                    <w:tl2br w:val="nil"/>
                    <w:tr2bl w:val="nil"/>
                  </w:tcBorders>
                  <w:vAlign w:val="center"/>
                </w:tcPr>
                <w:p>
                  <w:pPr>
                    <w:autoSpaceDN w:val="0"/>
                    <w:jc w:val="center"/>
                    <w:rPr>
                      <w:szCs w:val="21"/>
                    </w:rPr>
                  </w:pPr>
                  <w:r>
                    <w:rPr>
                      <w:szCs w:val="21"/>
                    </w:rPr>
                    <w:t>TP</w:t>
                  </w:r>
                </w:p>
              </w:tc>
              <w:tc>
                <w:tcPr>
                  <w:tcW w:w="652" w:type="dxa"/>
                  <w:tcBorders>
                    <w:tl2br w:val="nil"/>
                    <w:tr2bl w:val="nil"/>
                  </w:tcBorders>
                  <w:vAlign w:val="center"/>
                </w:tcPr>
                <w:p>
                  <w:pPr>
                    <w:autoSpaceDN w:val="0"/>
                    <w:jc w:val="center"/>
                    <w:rPr>
                      <w:szCs w:val="21"/>
                    </w:rPr>
                  </w:pPr>
                  <w:r>
                    <w:rPr>
                      <w:szCs w:val="21"/>
                    </w:rPr>
                    <w:t>5</w:t>
                  </w:r>
                </w:p>
              </w:tc>
              <w:tc>
                <w:tcPr>
                  <w:tcW w:w="870" w:type="dxa"/>
                  <w:tcBorders>
                    <w:tl2br w:val="nil"/>
                    <w:tr2bl w:val="nil"/>
                  </w:tcBorders>
                  <w:vAlign w:val="center"/>
                </w:tcPr>
                <w:p>
                  <w:pPr>
                    <w:autoSpaceDN w:val="0"/>
                    <w:jc w:val="center"/>
                    <w:textAlignment w:val="center"/>
                    <w:rPr>
                      <w:rFonts w:hint="default" w:eastAsia="宋体"/>
                      <w:szCs w:val="21"/>
                      <w:lang w:val="en-US" w:eastAsia="zh-CN"/>
                    </w:rPr>
                  </w:pPr>
                  <w:r>
                    <w:rPr>
                      <w:rFonts w:hint="eastAsia"/>
                      <w:szCs w:val="21"/>
                      <w:lang w:val="en-US" w:eastAsia="zh-CN"/>
                    </w:rPr>
                    <w:t>0.0096</w:t>
                  </w:r>
                </w:p>
              </w:tc>
              <w:tc>
                <w:tcPr>
                  <w:tcW w:w="638" w:type="dxa"/>
                  <w:vMerge w:val="continue"/>
                  <w:tcBorders>
                    <w:tl2br w:val="nil"/>
                    <w:tr2bl w:val="nil"/>
                  </w:tcBorders>
                  <w:vAlign w:val="center"/>
                </w:tcPr>
                <w:p>
                  <w:pPr>
                    <w:autoSpaceDN w:val="0"/>
                    <w:jc w:val="center"/>
                    <w:rPr>
                      <w:szCs w:val="21"/>
                    </w:rPr>
                  </w:pPr>
                </w:p>
              </w:tc>
              <w:tc>
                <w:tcPr>
                  <w:tcW w:w="686" w:type="dxa"/>
                  <w:tcBorders>
                    <w:tl2br w:val="nil"/>
                    <w:tr2bl w:val="nil"/>
                  </w:tcBorders>
                  <w:vAlign w:val="center"/>
                </w:tcPr>
                <w:p>
                  <w:pPr>
                    <w:autoSpaceDN w:val="0"/>
                    <w:jc w:val="center"/>
                    <w:rPr>
                      <w:szCs w:val="21"/>
                    </w:rPr>
                  </w:pPr>
                  <w:r>
                    <w:rPr>
                      <w:szCs w:val="21"/>
                    </w:rPr>
                    <w:t>5</w:t>
                  </w:r>
                </w:p>
              </w:tc>
              <w:tc>
                <w:tcPr>
                  <w:tcW w:w="908" w:type="dxa"/>
                  <w:tcBorders>
                    <w:tl2br w:val="nil"/>
                    <w:tr2bl w:val="nil"/>
                  </w:tcBorders>
                  <w:vAlign w:val="center"/>
                </w:tcPr>
                <w:p>
                  <w:pPr>
                    <w:autoSpaceDN w:val="0"/>
                    <w:jc w:val="center"/>
                    <w:textAlignment w:val="center"/>
                    <w:rPr>
                      <w:szCs w:val="21"/>
                    </w:rPr>
                  </w:pPr>
                  <w:r>
                    <w:rPr>
                      <w:rFonts w:hint="eastAsia"/>
                      <w:szCs w:val="21"/>
                      <w:lang w:val="en-US" w:eastAsia="zh-CN"/>
                    </w:rPr>
                    <w:t>0.0096</w:t>
                  </w:r>
                </w:p>
              </w:tc>
              <w:tc>
                <w:tcPr>
                  <w:tcW w:w="1616" w:type="dxa"/>
                  <w:vMerge w:val="continue"/>
                  <w:tcBorders>
                    <w:tl2br w:val="nil"/>
                    <w:tr2bl w:val="nil"/>
                  </w:tcBorders>
                  <w:vAlign w:val="center"/>
                </w:tcPr>
                <w:p>
                  <w:pPr>
                    <w:autoSpaceDN w:val="0"/>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trPr>
              <w:tc>
                <w:tcPr>
                  <w:tcW w:w="1042" w:type="dxa"/>
                  <w:vMerge w:val="continue"/>
                  <w:tcBorders>
                    <w:tl2br w:val="nil"/>
                    <w:tr2bl w:val="nil"/>
                  </w:tcBorders>
                  <w:vAlign w:val="center"/>
                </w:tcPr>
                <w:p>
                  <w:pPr>
                    <w:autoSpaceDN w:val="0"/>
                    <w:jc w:val="center"/>
                    <w:rPr>
                      <w:szCs w:val="21"/>
                    </w:rPr>
                  </w:pPr>
                </w:p>
              </w:tc>
              <w:tc>
                <w:tcPr>
                  <w:tcW w:w="840" w:type="dxa"/>
                  <w:vMerge w:val="continue"/>
                  <w:tcBorders>
                    <w:tl2br w:val="nil"/>
                    <w:tr2bl w:val="nil"/>
                  </w:tcBorders>
                  <w:vAlign w:val="center"/>
                </w:tcPr>
                <w:p>
                  <w:pPr>
                    <w:autoSpaceDN w:val="0"/>
                    <w:jc w:val="center"/>
                    <w:rPr>
                      <w:szCs w:val="21"/>
                    </w:rPr>
                  </w:pPr>
                </w:p>
              </w:tc>
              <w:tc>
                <w:tcPr>
                  <w:tcW w:w="900" w:type="dxa"/>
                  <w:tcBorders>
                    <w:tl2br w:val="nil"/>
                    <w:tr2bl w:val="nil"/>
                  </w:tcBorders>
                  <w:vAlign w:val="center"/>
                </w:tcPr>
                <w:p>
                  <w:pPr>
                    <w:autoSpaceDN w:val="0"/>
                    <w:jc w:val="center"/>
                    <w:rPr>
                      <w:szCs w:val="21"/>
                    </w:rPr>
                  </w:pPr>
                  <w:r>
                    <w:rPr>
                      <w:rFonts w:hint="eastAsia"/>
                      <w:szCs w:val="21"/>
                    </w:rPr>
                    <w:t>TN</w:t>
                  </w:r>
                </w:p>
              </w:tc>
              <w:tc>
                <w:tcPr>
                  <w:tcW w:w="652" w:type="dxa"/>
                  <w:tcBorders>
                    <w:tl2br w:val="nil"/>
                    <w:tr2bl w:val="nil"/>
                  </w:tcBorders>
                  <w:vAlign w:val="center"/>
                </w:tcPr>
                <w:p>
                  <w:pPr>
                    <w:autoSpaceDN w:val="0"/>
                    <w:jc w:val="center"/>
                    <w:rPr>
                      <w:szCs w:val="21"/>
                    </w:rPr>
                  </w:pPr>
                  <w:r>
                    <w:rPr>
                      <w:rFonts w:hint="eastAsia"/>
                      <w:szCs w:val="21"/>
                    </w:rPr>
                    <w:t>60</w:t>
                  </w:r>
                </w:p>
              </w:tc>
              <w:tc>
                <w:tcPr>
                  <w:tcW w:w="870" w:type="dxa"/>
                  <w:tcBorders>
                    <w:tl2br w:val="nil"/>
                    <w:tr2bl w:val="nil"/>
                  </w:tcBorders>
                  <w:vAlign w:val="center"/>
                </w:tcPr>
                <w:p>
                  <w:pPr>
                    <w:autoSpaceDN w:val="0"/>
                    <w:jc w:val="center"/>
                    <w:textAlignment w:val="center"/>
                    <w:rPr>
                      <w:rFonts w:hint="default" w:eastAsia="宋体"/>
                      <w:szCs w:val="21"/>
                      <w:lang w:val="en-US" w:eastAsia="zh-CN"/>
                    </w:rPr>
                  </w:pPr>
                  <w:r>
                    <w:rPr>
                      <w:rFonts w:hint="eastAsia"/>
                      <w:szCs w:val="21"/>
                      <w:lang w:val="en-US" w:eastAsia="zh-CN"/>
                    </w:rPr>
                    <w:t>0.0115</w:t>
                  </w:r>
                </w:p>
              </w:tc>
              <w:tc>
                <w:tcPr>
                  <w:tcW w:w="638" w:type="dxa"/>
                  <w:vMerge w:val="continue"/>
                  <w:tcBorders>
                    <w:tl2br w:val="nil"/>
                    <w:tr2bl w:val="nil"/>
                  </w:tcBorders>
                  <w:vAlign w:val="center"/>
                </w:tcPr>
                <w:p>
                  <w:pPr>
                    <w:autoSpaceDN w:val="0"/>
                    <w:jc w:val="center"/>
                    <w:rPr>
                      <w:szCs w:val="21"/>
                    </w:rPr>
                  </w:pPr>
                </w:p>
              </w:tc>
              <w:tc>
                <w:tcPr>
                  <w:tcW w:w="686" w:type="dxa"/>
                  <w:tcBorders>
                    <w:tl2br w:val="nil"/>
                    <w:tr2bl w:val="nil"/>
                  </w:tcBorders>
                  <w:vAlign w:val="center"/>
                </w:tcPr>
                <w:p>
                  <w:pPr>
                    <w:autoSpaceDN w:val="0"/>
                    <w:jc w:val="center"/>
                    <w:rPr>
                      <w:szCs w:val="21"/>
                    </w:rPr>
                  </w:pPr>
                  <w:r>
                    <w:rPr>
                      <w:rFonts w:hint="eastAsia"/>
                      <w:szCs w:val="21"/>
                    </w:rPr>
                    <w:t>60</w:t>
                  </w:r>
                </w:p>
              </w:tc>
              <w:tc>
                <w:tcPr>
                  <w:tcW w:w="908" w:type="dxa"/>
                  <w:tcBorders>
                    <w:tl2br w:val="nil"/>
                    <w:tr2bl w:val="nil"/>
                  </w:tcBorders>
                  <w:vAlign w:val="center"/>
                </w:tcPr>
                <w:p>
                  <w:pPr>
                    <w:autoSpaceDN w:val="0"/>
                    <w:jc w:val="center"/>
                    <w:textAlignment w:val="center"/>
                    <w:rPr>
                      <w:szCs w:val="21"/>
                    </w:rPr>
                  </w:pPr>
                  <w:r>
                    <w:rPr>
                      <w:rFonts w:hint="eastAsia"/>
                      <w:szCs w:val="21"/>
                      <w:lang w:val="en-US" w:eastAsia="zh-CN"/>
                    </w:rPr>
                    <w:t>0.0115</w:t>
                  </w:r>
                </w:p>
              </w:tc>
              <w:tc>
                <w:tcPr>
                  <w:tcW w:w="1616" w:type="dxa"/>
                  <w:vMerge w:val="continue"/>
                  <w:tcBorders>
                    <w:tl2br w:val="nil"/>
                    <w:tr2bl w:val="nil"/>
                  </w:tcBorders>
                  <w:vAlign w:val="center"/>
                </w:tcPr>
                <w:p>
                  <w:pPr>
                    <w:autoSpaceDN w:val="0"/>
                    <w:jc w:val="center"/>
                    <w:rPr>
                      <w:szCs w:val="21"/>
                    </w:rPr>
                  </w:pPr>
                </w:p>
              </w:tc>
            </w:tr>
          </w:tbl>
          <w:p>
            <w:pPr>
              <w:pStyle w:val="9"/>
              <w:numPr>
                <w:ilvl w:val="0"/>
                <w:numId w:val="0"/>
              </w:numPr>
              <w:spacing w:line="360" w:lineRule="auto"/>
              <w:ind w:firstLine="422" w:firstLineChars="200"/>
              <w:rPr>
                <w:b/>
                <w:bCs/>
                <w:szCs w:val="21"/>
              </w:rPr>
            </w:pPr>
            <w:r>
              <w:rPr>
                <w:b/>
                <w:bCs/>
                <w:szCs w:val="21"/>
              </w:rPr>
              <w:t>2、地表水</w:t>
            </w:r>
            <w:r>
              <w:rPr>
                <w:rFonts w:hint="eastAsia"/>
                <w:b/>
                <w:bCs/>
                <w:szCs w:val="21"/>
              </w:rPr>
              <w:t>影响分析</w:t>
            </w:r>
          </w:p>
          <w:p>
            <w:pPr>
              <w:spacing w:line="360" w:lineRule="auto"/>
              <w:ind w:firstLine="420" w:firstLineChars="200"/>
              <w:rPr>
                <w:bCs/>
              </w:rPr>
            </w:pPr>
            <w:r>
              <w:t>本项目</w:t>
            </w:r>
            <w:r>
              <w:rPr>
                <w:rFonts w:hint="eastAsia"/>
              </w:rPr>
              <w:t>所在</w:t>
            </w:r>
            <w:r>
              <w:rPr>
                <w:rFonts w:hint="eastAsia"/>
                <w:lang w:val="en-US" w:eastAsia="zh-CN"/>
              </w:rPr>
              <w:t>地</w:t>
            </w:r>
            <w:r>
              <w:rPr>
                <w:rFonts w:hint="eastAsia"/>
                <w:color w:val="000000" w:themeColor="text1"/>
                <w:sz w:val="21"/>
                <w:szCs w:val="21"/>
                <w14:textFill>
                  <w14:solidFill>
                    <w14:schemeClr w14:val="tx1"/>
                  </w14:solidFill>
                </w14:textFill>
              </w:rPr>
              <w:t>常州市武进第一耐火有限公司</w:t>
            </w:r>
            <w:r>
              <w:rPr>
                <w:rFonts w:hint="eastAsia"/>
                <w:color w:val="000000" w:themeColor="text1"/>
                <w:sz w:val="21"/>
                <w:szCs w:val="21"/>
                <w:lang w:val="en-US" w:eastAsia="zh-CN"/>
                <w14:textFill>
                  <w14:solidFill>
                    <w14:schemeClr w14:val="tx1"/>
                  </w14:solidFill>
                </w14:textFill>
              </w:rPr>
              <w:t>现有厂房</w:t>
            </w:r>
            <w:r>
              <w:t>实行“雨污分流”，雨水经</w:t>
            </w:r>
            <w:r>
              <w:rPr>
                <w:rFonts w:hint="eastAsia"/>
                <w:lang w:val="en-US" w:eastAsia="zh-CN"/>
              </w:rPr>
              <w:t>厂区</w:t>
            </w:r>
            <w:r>
              <w:t>雨水管网收集后接入市政雨水管网。本项目</w:t>
            </w:r>
            <w:r>
              <w:rPr>
                <w:kern w:val="0"/>
              </w:rPr>
              <w:t>生活污水依托</w:t>
            </w:r>
            <w:r>
              <w:rPr>
                <w:rFonts w:hint="eastAsia"/>
                <w:kern w:val="0"/>
                <w:lang w:val="en-US" w:eastAsia="zh-CN"/>
              </w:rPr>
              <w:t>厂</w:t>
            </w:r>
            <w:r>
              <w:rPr>
                <w:rFonts w:hint="eastAsia"/>
                <w:kern w:val="0"/>
              </w:rPr>
              <w:t>区</w:t>
            </w:r>
            <w:r>
              <w:rPr>
                <w:kern w:val="0"/>
              </w:rPr>
              <w:t>内污水管网</w:t>
            </w:r>
            <w:r>
              <w:rPr>
                <w:szCs w:val="21"/>
              </w:rPr>
              <w:t>接入常州武南污水处理厂集中处理，达标尾水排入武南河</w:t>
            </w:r>
            <w:r>
              <w:rPr>
                <w:kern w:val="0"/>
              </w:rPr>
              <w:t>。</w:t>
            </w:r>
            <w:r>
              <w:rPr>
                <w:bCs/>
              </w:rPr>
              <w:t>本项目为间接排放建设项目。</w:t>
            </w:r>
          </w:p>
          <w:p>
            <w:pPr>
              <w:adjustRightInd w:val="0"/>
              <w:snapToGrid w:val="0"/>
              <w:spacing w:line="360" w:lineRule="auto"/>
              <w:jc w:val="center"/>
              <w:rPr>
                <w:b/>
              </w:rPr>
            </w:pPr>
            <w:r>
              <w:rPr>
                <w:b/>
              </w:rPr>
              <w:t>表</w:t>
            </w:r>
            <w:r>
              <w:rPr>
                <w:rFonts w:hint="eastAsia"/>
                <w:b/>
              </w:rPr>
              <w:t xml:space="preserve">4-2 </w:t>
            </w:r>
            <w:r>
              <w:rPr>
                <w:b/>
              </w:rPr>
              <w:t>废水类别、污染物及污染治理设施信息表</w:t>
            </w:r>
          </w:p>
          <w:tbl>
            <w:tblPr>
              <w:tblStyle w:val="21"/>
              <w:tblW w:w="815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2"/>
              <w:gridCol w:w="376"/>
              <w:gridCol w:w="843"/>
              <w:gridCol w:w="596"/>
              <w:gridCol w:w="818"/>
              <w:gridCol w:w="739"/>
              <w:gridCol w:w="729"/>
              <w:gridCol w:w="818"/>
              <w:gridCol w:w="438"/>
              <w:gridCol w:w="835"/>
              <w:gridCol w:w="16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342" w:type="dxa"/>
                  <w:vMerge w:val="restart"/>
                  <w:tcMar>
                    <w:left w:w="0" w:type="dxa"/>
                    <w:right w:w="0" w:type="dxa"/>
                  </w:tcMar>
                  <w:vAlign w:val="center"/>
                </w:tcPr>
                <w:p>
                  <w:pPr>
                    <w:adjustRightInd w:val="0"/>
                    <w:jc w:val="center"/>
                    <w:rPr>
                      <w:b/>
                      <w:szCs w:val="21"/>
                    </w:rPr>
                  </w:pPr>
                  <w:r>
                    <w:rPr>
                      <w:b/>
                      <w:szCs w:val="21"/>
                    </w:rPr>
                    <w:t>序号</w:t>
                  </w:r>
                </w:p>
              </w:tc>
              <w:tc>
                <w:tcPr>
                  <w:tcW w:w="376" w:type="dxa"/>
                  <w:vMerge w:val="restart"/>
                  <w:tcMar>
                    <w:left w:w="0" w:type="dxa"/>
                    <w:right w:w="0" w:type="dxa"/>
                  </w:tcMar>
                  <w:vAlign w:val="center"/>
                </w:tcPr>
                <w:p>
                  <w:pPr>
                    <w:adjustRightInd w:val="0"/>
                    <w:jc w:val="center"/>
                    <w:rPr>
                      <w:b/>
                      <w:szCs w:val="21"/>
                    </w:rPr>
                  </w:pPr>
                  <w:r>
                    <w:rPr>
                      <w:b/>
                      <w:szCs w:val="21"/>
                    </w:rPr>
                    <w:t>废水类别</w:t>
                  </w:r>
                </w:p>
              </w:tc>
              <w:tc>
                <w:tcPr>
                  <w:tcW w:w="843" w:type="dxa"/>
                  <w:vMerge w:val="restart"/>
                  <w:tcMar>
                    <w:left w:w="0" w:type="dxa"/>
                    <w:right w:w="0" w:type="dxa"/>
                  </w:tcMar>
                  <w:vAlign w:val="center"/>
                </w:tcPr>
                <w:p>
                  <w:pPr>
                    <w:adjustRightInd w:val="0"/>
                    <w:jc w:val="center"/>
                    <w:rPr>
                      <w:b/>
                      <w:szCs w:val="21"/>
                    </w:rPr>
                  </w:pPr>
                  <w:r>
                    <w:rPr>
                      <w:b/>
                      <w:szCs w:val="21"/>
                    </w:rPr>
                    <w:t>污染物种类</w:t>
                  </w:r>
                </w:p>
              </w:tc>
              <w:tc>
                <w:tcPr>
                  <w:tcW w:w="596" w:type="dxa"/>
                  <w:vMerge w:val="restart"/>
                  <w:tcMar>
                    <w:left w:w="0" w:type="dxa"/>
                    <w:right w:w="0" w:type="dxa"/>
                  </w:tcMar>
                  <w:vAlign w:val="center"/>
                </w:tcPr>
                <w:p>
                  <w:pPr>
                    <w:adjustRightInd w:val="0"/>
                    <w:jc w:val="center"/>
                    <w:rPr>
                      <w:b/>
                      <w:szCs w:val="21"/>
                    </w:rPr>
                  </w:pPr>
                  <w:r>
                    <w:rPr>
                      <w:b/>
                      <w:szCs w:val="21"/>
                    </w:rPr>
                    <w:t>排放去向</w:t>
                  </w:r>
                </w:p>
              </w:tc>
              <w:tc>
                <w:tcPr>
                  <w:tcW w:w="818" w:type="dxa"/>
                  <w:vMerge w:val="restart"/>
                  <w:tcMar>
                    <w:left w:w="0" w:type="dxa"/>
                    <w:right w:w="0" w:type="dxa"/>
                  </w:tcMar>
                  <w:vAlign w:val="center"/>
                </w:tcPr>
                <w:p>
                  <w:pPr>
                    <w:adjustRightInd w:val="0"/>
                    <w:jc w:val="center"/>
                    <w:rPr>
                      <w:b/>
                      <w:szCs w:val="21"/>
                    </w:rPr>
                  </w:pPr>
                  <w:r>
                    <w:rPr>
                      <w:b/>
                      <w:szCs w:val="21"/>
                    </w:rPr>
                    <w:t>排放规律</w:t>
                  </w:r>
                </w:p>
              </w:tc>
              <w:tc>
                <w:tcPr>
                  <w:tcW w:w="2286" w:type="dxa"/>
                  <w:gridSpan w:val="3"/>
                  <w:tcMar>
                    <w:left w:w="0" w:type="dxa"/>
                    <w:right w:w="0" w:type="dxa"/>
                  </w:tcMar>
                  <w:vAlign w:val="center"/>
                </w:tcPr>
                <w:p>
                  <w:pPr>
                    <w:adjustRightInd w:val="0"/>
                    <w:jc w:val="center"/>
                    <w:rPr>
                      <w:b/>
                      <w:szCs w:val="21"/>
                    </w:rPr>
                  </w:pPr>
                  <w:r>
                    <w:rPr>
                      <w:b/>
                      <w:szCs w:val="21"/>
                    </w:rPr>
                    <w:t>污染治理设施</w:t>
                  </w:r>
                </w:p>
              </w:tc>
              <w:tc>
                <w:tcPr>
                  <w:tcW w:w="438" w:type="dxa"/>
                  <w:vMerge w:val="restart"/>
                  <w:tcMar>
                    <w:left w:w="0" w:type="dxa"/>
                    <w:right w:w="0" w:type="dxa"/>
                  </w:tcMar>
                  <w:vAlign w:val="center"/>
                </w:tcPr>
                <w:p>
                  <w:pPr>
                    <w:adjustRightInd w:val="0"/>
                    <w:jc w:val="center"/>
                    <w:rPr>
                      <w:b/>
                      <w:szCs w:val="21"/>
                    </w:rPr>
                  </w:pPr>
                  <w:r>
                    <w:rPr>
                      <w:b/>
                      <w:szCs w:val="21"/>
                    </w:rPr>
                    <w:t>排放口编号</w:t>
                  </w:r>
                </w:p>
              </w:tc>
              <w:tc>
                <w:tcPr>
                  <w:tcW w:w="835" w:type="dxa"/>
                  <w:vMerge w:val="restart"/>
                  <w:tcMar>
                    <w:left w:w="0" w:type="dxa"/>
                    <w:right w:w="0" w:type="dxa"/>
                  </w:tcMar>
                  <w:vAlign w:val="center"/>
                </w:tcPr>
                <w:p>
                  <w:pPr>
                    <w:adjustRightInd w:val="0"/>
                    <w:jc w:val="center"/>
                    <w:rPr>
                      <w:b/>
                      <w:szCs w:val="21"/>
                    </w:rPr>
                  </w:pPr>
                  <w:r>
                    <w:rPr>
                      <w:b/>
                      <w:szCs w:val="21"/>
                    </w:rPr>
                    <w:t>排放口设置是否符合要求</w:t>
                  </w:r>
                </w:p>
              </w:tc>
              <w:tc>
                <w:tcPr>
                  <w:tcW w:w="1618" w:type="dxa"/>
                  <w:vMerge w:val="restart"/>
                  <w:tcMar>
                    <w:left w:w="0" w:type="dxa"/>
                    <w:right w:w="0" w:type="dxa"/>
                  </w:tcMar>
                  <w:vAlign w:val="center"/>
                </w:tcPr>
                <w:p>
                  <w:pPr>
                    <w:adjustRightInd w:val="0"/>
                    <w:jc w:val="center"/>
                    <w:rPr>
                      <w:b/>
                      <w:szCs w:val="21"/>
                    </w:rPr>
                  </w:pPr>
                  <w:r>
                    <w:rPr>
                      <w:b/>
                      <w:szCs w:val="21"/>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342" w:type="dxa"/>
                  <w:vMerge w:val="continue"/>
                  <w:tcMar>
                    <w:left w:w="0" w:type="dxa"/>
                    <w:right w:w="0" w:type="dxa"/>
                  </w:tcMar>
                  <w:vAlign w:val="center"/>
                </w:tcPr>
                <w:p>
                  <w:pPr>
                    <w:adjustRightInd w:val="0"/>
                    <w:jc w:val="center"/>
                    <w:rPr>
                      <w:b/>
                      <w:szCs w:val="21"/>
                    </w:rPr>
                  </w:pPr>
                </w:p>
              </w:tc>
              <w:tc>
                <w:tcPr>
                  <w:tcW w:w="376" w:type="dxa"/>
                  <w:vMerge w:val="continue"/>
                  <w:tcMar>
                    <w:left w:w="0" w:type="dxa"/>
                    <w:right w:w="0" w:type="dxa"/>
                  </w:tcMar>
                  <w:vAlign w:val="center"/>
                </w:tcPr>
                <w:p>
                  <w:pPr>
                    <w:adjustRightInd w:val="0"/>
                    <w:jc w:val="center"/>
                    <w:rPr>
                      <w:b/>
                      <w:szCs w:val="21"/>
                    </w:rPr>
                  </w:pPr>
                </w:p>
              </w:tc>
              <w:tc>
                <w:tcPr>
                  <w:tcW w:w="843" w:type="dxa"/>
                  <w:vMerge w:val="continue"/>
                  <w:tcMar>
                    <w:left w:w="0" w:type="dxa"/>
                    <w:right w:w="0" w:type="dxa"/>
                  </w:tcMar>
                  <w:vAlign w:val="center"/>
                </w:tcPr>
                <w:p>
                  <w:pPr>
                    <w:adjustRightInd w:val="0"/>
                    <w:jc w:val="center"/>
                    <w:rPr>
                      <w:b/>
                      <w:szCs w:val="21"/>
                    </w:rPr>
                  </w:pPr>
                </w:p>
              </w:tc>
              <w:tc>
                <w:tcPr>
                  <w:tcW w:w="596" w:type="dxa"/>
                  <w:vMerge w:val="continue"/>
                  <w:tcMar>
                    <w:left w:w="0" w:type="dxa"/>
                    <w:right w:w="0" w:type="dxa"/>
                  </w:tcMar>
                  <w:vAlign w:val="center"/>
                </w:tcPr>
                <w:p>
                  <w:pPr>
                    <w:adjustRightInd w:val="0"/>
                    <w:jc w:val="center"/>
                    <w:rPr>
                      <w:b/>
                      <w:szCs w:val="21"/>
                    </w:rPr>
                  </w:pPr>
                </w:p>
              </w:tc>
              <w:tc>
                <w:tcPr>
                  <w:tcW w:w="818" w:type="dxa"/>
                  <w:vMerge w:val="continue"/>
                  <w:tcMar>
                    <w:left w:w="0" w:type="dxa"/>
                    <w:right w:w="0" w:type="dxa"/>
                  </w:tcMar>
                  <w:vAlign w:val="center"/>
                </w:tcPr>
                <w:p>
                  <w:pPr>
                    <w:adjustRightInd w:val="0"/>
                    <w:jc w:val="center"/>
                    <w:rPr>
                      <w:b/>
                      <w:szCs w:val="21"/>
                    </w:rPr>
                  </w:pPr>
                </w:p>
              </w:tc>
              <w:tc>
                <w:tcPr>
                  <w:tcW w:w="739" w:type="dxa"/>
                  <w:tcMar>
                    <w:left w:w="0" w:type="dxa"/>
                    <w:right w:w="0" w:type="dxa"/>
                  </w:tcMar>
                  <w:vAlign w:val="center"/>
                </w:tcPr>
                <w:p>
                  <w:pPr>
                    <w:adjustRightInd w:val="0"/>
                    <w:jc w:val="center"/>
                    <w:rPr>
                      <w:b/>
                      <w:szCs w:val="21"/>
                    </w:rPr>
                  </w:pPr>
                  <w:r>
                    <w:rPr>
                      <w:b/>
                      <w:szCs w:val="21"/>
                    </w:rPr>
                    <w:t>污染治理设施编号</w:t>
                  </w:r>
                </w:p>
              </w:tc>
              <w:tc>
                <w:tcPr>
                  <w:tcW w:w="729" w:type="dxa"/>
                  <w:tcMar>
                    <w:left w:w="0" w:type="dxa"/>
                    <w:right w:w="0" w:type="dxa"/>
                  </w:tcMar>
                  <w:vAlign w:val="center"/>
                </w:tcPr>
                <w:p>
                  <w:pPr>
                    <w:adjustRightInd w:val="0"/>
                    <w:jc w:val="center"/>
                    <w:rPr>
                      <w:b/>
                      <w:szCs w:val="21"/>
                    </w:rPr>
                  </w:pPr>
                  <w:r>
                    <w:rPr>
                      <w:b/>
                      <w:szCs w:val="21"/>
                    </w:rPr>
                    <w:t>污染治理设施名称</w:t>
                  </w:r>
                </w:p>
              </w:tc>
              <w:tc>
                <w:tcPr>
                  <w:tcW w:w="818" w:type="dxa"/>
                  <w:tcMar>
                    <w:left w:w="0" w:type="dxa"/>
                    <w:right w:w="0" w:type="dxa"/>
                  </w:tcMar>
                  <w:vAlign w:val="center"/>
                </w:tcPr>
                <w:p>
                  <w:pPr>
                    <w:adjustRightInd w:val="0"/>
                    <w:jc w:val="center"/>
                    <w:rPr>
                      <w:b/>
                      <w:szCs w:val="21"/>
                    </w:rPr>
                  </w:pPr>
                  <w:r>
                    <w:rPr>
                      <w:b/>
                      <w:szCs w:val="21"/>
                    </w:rPr>
                    <w:t>污染治理设施工艺</w:t>
                  </w:r>
                </w:p>
              </w:tc>
              <w:tc>
                <w:tcPr>
                  <w:tcW w:w="438" w:type="dxa"/>
                  <w:vMerge w:val="continue"/>
                  <w:tcMar>
                    <w:left w:w="0" w:type="dxa"/>
                    <w:right w:w="0" w:type="dxa"/>
                  </w:tcMar>
                  <w:vAlign w:val="center"/>
                </w:tcPr>
                <w:p>
                  <w:pPr>
                    <w:adjustRightInd w:val="0"/>
                    <w:jc w:val="center"/>
                    <w:rPr>
                      <w:b/>
                      <w:szCs w:val="21"/>
                    </w:rPr>
                  </w:pPr>
                </w:p>
              </w:tc>
              <w:tc>
                <w:tcPr>
                  <w:tcW w:w="835" w:type="dxa"/>
                  <w:vMerge w:val="continue"/>
                  <w:tcMar>
                    <w:left w:w="0" w:type="dxa"/>
                    <w:right w:w="0" w:type="dxa"/>
                  </w:tcMar>
                  <w:vAlign w:val="center"/>
                </w:tcPr>
                <w:p>
                  <w:pPr>
                    <w:adjustRightInd w:val="0"/>
                    <w:jc w:val="center"/>
                    <w:rPr>
                      <w:b/>
                      <w:szCs w:val="21"/>
                    </w:rPr>
                  </w:pPr>
                </w:p>
              </w:tc>
              <w:tc>
                <w:tcPr>
                  <w:tcW w:w="1618" w:type="dxa"/>
                  <w:vMerge w:val="continue"/>
                  <w:tcMar>
                    <w:left w:w="0" w:type="dxa"/>
                    <w:right w:w="0" w:type="dxa"/>
                  </w:tcMar>
                  <w:vAlign w:val="center"/>
                </w:tcPr>
                <w:p>
                  <w:pPr>
                    <w:adjustRightInd w:val="0"/>
                    <w:jc w:val="center"/>
                    <w:rPr>
                      <w:b/>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342" w:type="dxa"/>
                  <w:tcMar>
                    <w:left w:w="0" w:type="dxa"/>
                    <w:right w:w="0" w:type="dxa"/>
                  </w:tcMar>
                  <w:vAlign w:val="center"/>
                </w:tcPr>
                <w:p>
                  <w:pPr>
                    <w:adjustRightInd w:val="0"/>
                    <w:jc w:val="center"/>
                    <w:rPr>
                      <w:bCs/>
                      <w:szCs w:val="21"/>
                    </w:rPr>
                  </w:pPr>
                  <w:r>
                    <w:rPr>
                      <w:bCs/>
                      <w:szCs w:val="21"/>
                    </w:rPr>
                    <w:t>1</w:t>
                  </w:r>
                </w:p>
              </w:tc>
              <w:tc>
                <w:tcPr>
                  <w:tcW w:w="376" w:type="dxa"/>
                  <w:tcMar>
                    <w:left w:w="0" w:type="dxa"/>
                    <w:right w:w="0" w:type="dxa"/>
                  </w:tcMar>
                  <w:vAlign w:val="center"/>
                </w:tcPr>
                <w:p>
                  <w:pPr>
                    <w:adjustRightInd w:val="0"/>
                    <w:jc w:val="center"/>
                    <w:rPr>
                      <w:bCs/>
                      <w:szCs w:val="21"/>
                    </w:rPr>
                  </w:pPr>
                  <w:r>
                    <w:rPr>
                      <w:bCs/>
                      <w:szCs w:val="21"/>
                    </w:rPr>
                    <w:t>生活污水</w:t>
                  </w:r>
                </w:p>
              </w:tc>
              <w:tc>
                <w:tcPr>
                  <w:tcW w:w="843" w:type="dxa"/>
                  <w:tcMar>
                    <w:left w:w="0" w:type="dxa"/>
                    <w:right w:w="0" w:type="dxa"/>
                  </w:tcMar>
                  <w:vAlign w:val="center"/>
                </w:tcPr>
                <w:p>
                  <w:pPr>
                    <w:adjustRightInd w:val="0"/>
                    <w:jc w:val="center"/>
                    <w:rPr>
                      <w:bCs/>
                      <w:szCs w:val="21"/>
                    </w:rPr>
                  </w:pPr>
                  <w:r>
                    <w:rPr>
                      <w:bCs/>
                      <w:szCs w:val="21"/>
                    </w:rPr>
                    <w:t>COD、SS、NH</w:t>
                  </w:r>
                  <w:r>
                    <w:rPr>
                      <w:bCs/>
                      <w:szCs w:val="21"/>
                      <w:vertAlign w:val="subscript"/>
                    </w:rPr>
                    <w:t>3</w:t>
                  </w:r>
                  <w:r>
                    <w:rPr>
                      <w:bCs/>
                      <w:szCs w:val="21"/>
                    </w:rPr>
                    <w:t>-N、TP、TN</w:t>
                  </w:r>
                </w:p>
              </w:tc>
              <w:tc>
                <w:tcPr>
                  <w:tcW w:w="596" w:type="dxa"/>
                  <w:tcMar>
                    <w:left w:w="0" w:type="dxa"/>
                    <w:right w:w="0" w:type="dxa"/>
                  </w:tcMar>
                  <w:vAlign w:val="center"/>
                </w:tcPr>
                <w:p>
                  <w:pPr>
                    <w:adjustRightInd w:val="0"/>
                    <w:jc w:val="center"/>
                    <w:rPr>
                      <w:rFonts w:hint="eastAsia" w:eastAsia="宋体"/>
                      <w:bCs/>
                      <w:szCs w:val="21"/>
                      <w:lang w:eastAsia="zh-CN"/>
                    </w:rPr>
                  </w:pPr>
                  <w:r>
                    <w:rPr>
                      <w:rFonts w:hint="eastAsia"/>
                      <w:bCs/>
                      <w:szCs w:val="21"/>
                      <w:lang w:eastAsia="zh-CN"/>
                    </w:rPr>
                    <w:t>常州武南污水处理厂</w:t>
                  </w:r>
                </w:p>
              </w:tc>
              <w:tc>
                <w:tcPr>
                  <w:tcW w:w="818" w:type="dxa"/>
                  <w:tcMar>
                    <w:left w:w="0" w:type="dxa"/>
                    <w:right w:w="0" w:type="dxa"/>
                  </w:tcMar>
                  <w:vAlign w:val="center"/>
                </w:tcPr>
                <w:p>
                  <w:pPr>
                    <w:adjustRightInd w:val="0"/>
                    <w:jc w:val="center"/>
                    <w:rPr>
                      <w:bCs/>
                      <w:szCs w:val="21"/>
                    </w:rPr>
                  </w:pPr>
                  <w:r>
                    <w:rPr>
                      <w:bCs/>
                      <w:szCs w:val="21"/>
                    </w:rPr>
                    <w:t>间断排放，排放期间流量不稳定</w:t>
                  </w:r>
                </w:p>
              </w:tc>
              <w:tc>
                <w:tcPr>
                  <w:tcW w:w="739" w:type="dxa"/>
                  <w:tcMar>
                    <w:left w:w="0" w:type="dxa"/>
                    <w:right w:w="0" w:type="dxa"/>
                  </w:tcMar>
                  <w:vAlign w:val="center"/>
                </w:tcPr>
                <w:p>
                  <w:pPr>
                    <w:adjustRightInd w:val="0"/>
                    <w:jc w:val="center"/>
                    <w:rPr>
                      <w:rFonts w:hint="default" w:eastAsia="宋体"/>
                      <w:bCs/>
                      <w:szCs w:val="21"/>
                      <w:lang w:val="en-US" w:eastAsia="zh-CN"/>
                    </w:rPr>
                  </w:pPr>
                  <w:r>
                    <w:rPr>
                      <w:rFonts w:hint="eastAsia"/>
                      <w:bCs/>
                      <w:szCs w:val="21"/>
                      <w:lang w:val="en-US" w:eastAsia="zh-CN"/>
                    </w:rPr>
                    <w:t>TW001</w:t>
                  </w:r>
                </w:p>
              </w:tc>
              <w:tc>
                <w:tcPr>
                  <w:tcW w:w="729" w:type="dxa"/>
                  <w:tcMar>
                    <w:left w:w="0" w:type="dxa"/>
                    <w:right w:w="0" w:type="dxa"/>
                  </w:tcMar>
                  <w:vAlign w:val="center"/>
                </w:tcPr>
                <w:p>
                  <w:pPr>
                    <w:adjustRightInd w:val="0"/>
                    <w:jc w:val="center"/>
                    <w:rPr>
                      <w:bCs/>
                      <w:szCs w:val="21"/>
                    </w:rPr>
                  </w:pPr>
                  <w:r>
                    <w:rPr>
                      <w:sz w:val="21"/>
                    </w:rPr>
                    <w:t>化粪池</w:t>
                  </w:r>
                </w:p>
              </w:tc>
              <w:tc>
                <w:tcPr>
                  <w:tcW w:w="818" w:type="dxa"/>
                  <w:tcMar>
                    <w:left w:w="0" w:type="dxa"/>
                    <w:right w:w="0" w:type="dxa"/>
                  </w:tcMar>
                  <w:vAlign w:val="center"/>
                </w:tcPr>
                <w:p>
                  <w:pPr>
                    <w:adjustRightInd w:val="0"/>
                    <w:jc w:val="center"/>
                    <w:rPr>
                      <w:rFonts w:hint="eastAsia"/>
                      <w:bCs/>
                      <w:szCs w:val="21"/>
                      <w:lang w:val="en-US" w:eastAsia="zh-CN"/>
                    </w:rPr>
                  </w:pPr>
                  <w:r>
                    <w:rPr>
                      <w:rFonts w:hint="eastAsia"/>
                      <w:bCs/>
                      <w:szCs w:val="21"/>
                      <w:lang w:val="en-US" w:eastAsia="zh-CN"/>
                    </w:rPr>
                    <w:t>过滤</w:t>
                  </w:r>
                </w:p>
                <w:p>
                  <w:pPr>
                    <w:adjustRightInd w:val="0"/>
                    <w:jc w:val="center"/>
                    <w:rPr>
                      <w:rFonts w:hint="default" w:eastAsia="宋体"/>
                      <w:bCs/>
                      <w:szCs w:val="21"/>
                      <w:lang w:val="en-US" w:eastAsia="zh-CN"/>
                    </w:rPr>
                  </w:pPr>
                  <w:r>
                    <w:rPr>
                      <w:rFonts w:hint="eastAsia"/>
                      <w:bCs/>
                      <w:szCs w:val="21"/>
                      <w:lang w:val="en-US" w:eastAsia="zh-CN"/>
                    </w:rPr>
                    <w:t>沉淀</w:t>
                  </w:r>
                </w:p>
              </w:tc>
              <w:tc>
                <w:tcPr>
                  <w:tcW w:w="438" w:type="dxa"/>
                  <w:tcMar>
                    <w:left w:w="0" w:type="dxa"/>
                    <w:right w:w="0" w:type="dxa"/>
                  </w:tcMar>
                  <w:vAlign w:val="center"/>
                </w:tcPr>
                <w:p>
                  <w:pPr>
                    <w:adjustRightInd w:val="0"/>
                    <w:jc w:val="center"/>
                    <w:rPr>
                      <w:bCs/>
                      <w:szCs w:val="21"/>
                    </w:rPr>
                  </w:pPr>
                  <w:r>
                    <w:rPr>
                      <w:bCs/>
                      <w:szCs w:val="21"/>
                    </w:rPr>
                    <w:t>/</w:t>
                  </w:r>
                </w:p>
              </w:tc>
              <w:tc>
                <w:tcPr>
                  <w:tcW w:w="835" w:type="dxa"/>
                  <w:tcMar>
                    <w:left w:w="0" w:type="dxa"/>
                    <w:right w:w="0" w:type="dxa"/>
                  </w:tcMar>
                  <w:vAlign w:val="center"/>
                </w:tcPr>
                <w:p>
                  <w:pPr>
                    <w:adjustRightInd w:val="0"/>
                    <w:jc w:val="center"/>
                    <w:rPr>
                      <w:bCs/>
                      <w:szCs w:val="21"/>
                    </w:rPr>
                  </w:pPr>
                  <w:r>
                    <w:rPr>
                      <w:bCs/>
                      <w:szCs w:val="21"/>
                    </w:rPr>
                    <w:sym w:font="Wingdings 2" w:char="0052"/>
                  </w:r>
                  <w:r>
                    <w:rPr>
                      <w:bCs/>
                      <w:szCs w:val="21"/>
                    </w:rPr>
                    <w:t>是</w:t>
                  </w:r>
                </w:p>
                <w:p>
                  <w:pPr>
                    <w:adjustRightInd w:val="0"/>
                    <w:jc w:val="center"/>
                    <w:rPr>
                      <w:bCs/>
                      <w:szCs w:val="21"/>
                    </w:rPr>
                  </w:pPr>
                  <w:r>
                    <w:rPr>
                      <w:bCs/>
                      <w:szCs w:val="21"/>
                    </w:rPr>
                    <w:sym w:font="Wingdings 2" w:char="00A3"/>
                  </w:r>
                  <w:r>
                    <w:rPr>
                      <w:bCs/>
                      <w:szCs w:val="21"/>
                    </w:rPr>
                    <w:t>否</w:t>
                  </w:r>
                </w:p>
              </w:tc>
              <w:tc>
                <w:tcPr>
                  <w:tcW w:w="1618" w:type="dxa"/>
                  <w:tcMar>
                    <w:left w:w="0" w:type="dxa"/>
                    <w:right w:w="0" w:type="dxa"/>
                  </w:tcMar>
                </w:tcPr>
                <w:p>
                  <w:pPr>
                    <w:adjustRightInd w:val="0"/>
                    <w:jc w:val="left"/>
                    <w:rPr>
                      <w:bCs/>
                      <w:szCs w:val="21"/>
                    </w:rPr>
                  </w:pPr>
                  <w:r>
                    <w:rPr>
                      <w:bCs/>
                      <w:szCs w:val="21"/>
                    </w:rPr>
                    <w:sym w:font="Wingdings 2" w:char="0052"/>
                  </w:r>
                  <w:r>
                    <w:rPr>
                      <w:bCs/>
                      <w:szCs w:val="21"/>
                    </w:rPr>
                    <w:t>企业总排</w:t>
                  </w:r>
                </w:p>
                <w:p>
                  <w:pPr>
                    <w:adjustRightInd w:val="0"/>
                    <w:jc w:val="left"/>
                    <w:rPr>
                      <w:bCs/>
                      <w:szCs w:val="21"/>
                    </w:rPr>
                  </w:pPr>
                  <w:r>
                    <w:rPr>
                      <w:bCs/>
                      <w:szCs w:val="21"/>
                    </w:rPr>
                    <w:sym w:font="Wingdings 2" w:char="00A3"/>
                  </w:r>
                  <w:r>
                    <w:rPr>
                      <w:bCs/>
                      <w:szCs w:val="21"/>
                    </w:rPr>
                    <w:t>雨水排放</w:t>
                  </w:r>
                </w:p>
                <w:p>
                  <w:pPr>
                    <w:adjustRightInd w:val="0"/>
                    <w:jc w:val="left"/>
                    <w:rPr>
                      <w:bCs/>
                      <w:szCs w:val="21"/>
                    </w:rPr>
                  </w:pPr>
                  <w:r>
                    <w:rPr>
                      <w:bCs/>
                      <w:szCs w:val="21"/>
                    </w:rPr>
                    <w:sym w:font="Wingdings 2" w:char="00A3"/>
                  </w:r>
                  <w:r>
                    <w:rPr>
                      <w:bCs/>
                      <w:szCs w:val="21"/>
                    </w:rPr>
                    <w:t>清净下水排放</w:t>
                  </w:r>
                </w:p>
                <w:p>
                  <w:pPr>
                    <w:adjustRightInd w:val="0"/>
                    <w:jc w:val="left"/>
                    <w:rPr>
                      <w:bCs/>
                      <w:szCs w:val="21"/>
                    </w:rPr>
                  </w:pPr>
                  <w:r>
                    <w:rPr>
                      <w:bCs/>
                      <w:szCs w:val="21"/>
                    </w:rPr>
                    <w:sym w:font="Wingdings 2" w:char="00A3"/>
                  </w:r>
                  <w:r>
                    <w:rPr>
                      <w:bCs/>
                      <w:szCs w:val="21"/>
                    </w:rPr>
                    <w:t>温排水排放</w:t>
                  </w:r>
                </w:p>
                <w:p>
                  <w:pPr>
                    <w:adjustRightInd w:val="0"/>
                    <w:jc w:val="left"/>
                    <w:rPr>
                      <w:bCs/>
                      <w:szCs w:val="21"/>
                    </w:rPr>
                  </w:pPr>
                  <w:r>
                    <w:rPr>
                      <w:bCs/>
                      <w:szCs w:val="21"/>
                    </w:rPr>
                    <w:sym w:font="Wingdings 2" w:char="00A3"/>
                  </w:r>
                  <w:r>
                    <w:rPr>
                      <w:bCs/>
                      <w:szCs w:val="21"/>
                    </w:rPr>
                    <w:t>车间或车间处理设施排放口</w:t>
                  </w:r>
                </w:p>
              </w:tc>
            </w:tr>
          </w:tbl>
          <w:p>
            <w:pPr>
              <w:adjustRightInd w:val="0"/>
              <w:snapToGrid w:val="0"/>
              <w:spacing w:line="360" w:lineRule="auto"/>
              <w:jc w:val="center"/>
              <w:rPr>
                <w:b/>
              </w:rPr>
            </w:pPr>
            <w:r>
              <w:rPr>
                <w:b/>
              </w:rPr>
              <w:t>表</w:t>
            </w:r>
            <w:r>
              <w:rPr>
                <w:rFonts w:hint="eastAsia"/>
                <w:b/>
              </w:rPr>
              <w:t>4-3</w:t>
            </w:r>
            <w:r>
              <w:rPr>
                <w:b/>
              </w:rPr>
              <w:t xml:space="preserve"> 废水间接排放口基本情况表</w:t>
            </w:r>
          </w:p>
          <w:tbl>
            <w:tblPr>
              <w:tblStyle w:val="21"/>
              <w:tblW w:w="815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3"/>
              <w:gridCol w:w="764"/>
              <w:gridCol w:w="1220"/>
              <w:gridCol w:w="1139"/>
              <w:gridCol w:w="652"/>
              <w:gridCol w:w="485"/>
              <w:gridCol w:w="623"/>
              <w:gridCol w:w="472"/>
              <w:gridCol w:w="880"/>
              <w:gridCol w:w="658"/>
              <w:gridCol w:w="9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273" w:type="dxa"/>
                  <w:vMerge w:val="restart"/>
                  <w:tcMar>
                    <w:left w:w="0" w:type="dxa"/>
                    <w:right w:w="0" w:type="dxa"/>
                  </w:tcMar>
                  <w:vAlign w:val="center"/>
                </w:tcPr>
                <w:p>
                  <w:pPr>
                    <w:pStyle w:val="8"/>
                    <w:widowControl w:val="0"/>
                    <w:snapToGrid/>
                    <w:spacing w:before="0" w:after="0" w:line="240" w:lineRule="auto"/>
                    <w:ind w:right="0"/>
                    <w:jc w:val="center"/>
                    <w:rPr>
                      <w:b/>
                      <w:sz w:val="21"/>
                      <w:szCs w:val="21"/>
                    </w:rPr>
                  </w:pPr>
                  <w:r>
                    <w:rPr>
                      <w:b/>
                      <w:sz w:val="21"/>
                      <w:szCs w:val="21"/>
                    </w:rPr>
                    <w:t>序号</w:t>
                  </w:r>
                </w:p>
              </w:tc>
              <w:tc>
                <w:tcPr>
                  <w:tcW w:w="764" w:type="dxa"/>
                  <w:vMerge w:val="restart"/>
                  <w:tcMar>
                    <w:left w:w="0" w:type="dxa"/>
                    <w:right w:w="0" w:type="dxa"/>
                  </w:tcMar>
                  <w:vAlign w:val="center"/>
                </w:tcPr>
                <w:p>
                  <w:pPr>
                    <w:pStyle w:val="8"/>
                    <w:widowControl w:val="0"/>
                    <w:snapToGrid/>
                    <w:spacing w:before="0" w:after="0" w:line="240" w:lineRule="auto"/>
                    <w:ind w:right="0"/>
                    <w:jc w:val="center"/>
                    <w:rPr>
                      <w:b/>
                      <w:sz w:val="21"/>
                      <w:szCs w:val="21"/>
                    </w:rPr>
                  </w:pPr>
                  <w:r>
                    <w:rPr>
                      <w:b/>
                      <w:sz w:val="21"/>
                      <w:szCs w:val="21"/>
                    </w:rPr>
                    <w:t>排放口编号</w:t>
                  </w:r>
                </w:p>
              </w:tc>
              <w:tc>
                <w:tcPr>
                  <w:tcW w:w="2359" w:type="dxa"/>
                  <w:gridSpan w:val="2"/>
                  <w:tcMar>
                    <w:left w:w="0" w:type="dxa"/>
                    <w:right w:w="0" w:type="dxa"/>
                  </w:tcMar>
                  <w:vAlign w:val="center"/>
                </w:tcPr>
                <w:p>
                  <w:pPr>
                    <w:pStyle w:val="8"/>
                    <w:widowControl w:val="0"/>
                    <w:snapToGrid/>
                    <w:spacing w:before="0" w:after="0" w:line="240" w:lineRule="auto"/>
                    <w:ind w:right="0"/>
                    <w:jc w:val="center"/>
                    <w:rPr>
                      <w:b/>
                      <w:sz w:val="21"/>
                      <w:szCs w:val="21"/>
                    </w:rPr>
                  </w:pPr>
                  <w:r>
                    <w:rPr>
                      <w:b/>
                      <w:sz w:val="21"/>
                      <w:szCs w:val="21"/>
                    </w:rPr>
                    <w:t>排放口地理坐标</w:t>
                  </w:r>
                </w:p>
              </w:tc>
              <w:tc>
                <w:tcPr>
                  <w:tcW w:w="652" w:type="dxa"/>
                  <w:vMerge w:val="restart"/>
                  <w:tcMar>
                    <w:left w:w="0" w:type="dxa"/>
                    <w:right w:w="0" w:type="dxa"/>
                  </w:tcMar>
                  <w:vAlign w:val="center"/>
                </w:tcPr>
                <w:p>
                  <w:pPr>
                    <w:pStyle w:val="8"/>
                    <w:widowControl w:val="0"/>
                    <w:snapToGrid/>
                    <w:spacing w:before="0" w:after="0" w:line="240" w:lineRule="auto"/>
                    <w:ind w:right="0"/>
                    <w:jc w:val="center"/>
                    <w:rPr>
                      <w:b/>
                      <w:sz w:val="21"/>
                      <w:szCs w:val="21"/>
                    </w:rPr>
                  </w:pPr>
                  <w:r>
                    <w:rPr>
                      <w:b/>
                      <w:sz w:val="21"/>
                      <w:szCs w:val="21"/>
                    </w:rPr>
                    <w:t>废水排放量（万t/a）</w:t>
                  </w:r>
                </w:p>
              </w:tc>
              <w:tc>
                <w:tcPr>
                  <w:tcW w:w="485" w:type="dxa"/>
                  <w:vMerge w:val="restart"/>
                  <w:tcMar>
                    <w:left w:w="0" w:type="dxa"/>
                    <w:right w:w="0" w:type="dxa"/>
                  </w:tcMar>
                  <w:vAlign w:val="center"/>
                </w:tcPr>
                <w:p>
                  <w:pPr>
                    <w:pStyle w:val="8"/>
                    <w:widowControl w:val="0"/>
                    <w:snapToGrid/>
                    <w:spacing w:before="0" w:after="0" w:line="240" w:lineRule="auto"/>
                    <w:ind w:right="0"/>
                    <w:jc w:val="center"/>
                    <w:rPr>
                      <w:b/>
                      <w:sz w:val="21"/>
                      <w:szCs w:val="21"/>
                    </w:rPr>
                  </w:pPr>
                  <w:r>
                    <w:rPr>
                      <w:b/>
                      <w:sz w:val="21"/>
                      <w:szCs w:val="21"/>
                    </w:rPr>
                    <w:t>排放去向</w:t>
                  </w:r>
                </w:p>
              </w:tc>
              <w:tc>
                <w:tcPr>
                  <w:tcW w:w="623" w:type="dxa"/>
                  <w:vMerge w:val="restart"/>
                  <w:tcMar>
                    <w:left w:w="0" w:type="dxa"/>
                    <w:right w:w="0" w:type="dxa"/>
                  </w:tcMar>
                  <w:vAlign w:val="center"/>
                </w:tcPr>
                <w:p>
                  <w:pPr>
                    <w:pStyle w:val="8"/>
                    <w:widowControl w:val="0"/>
                    <w:snapToGrid/>
                    <w:spacing w:before="0" w:after="0" w:line="240" w:lineRule="auto"/>
                    <w:ind w:right="0"/>
                    <w:jc w:val="center"/>
                    <w:rPr>
                      <w:b/>
                      <w:sz w:val="21"/>
                      <w:szCs w:val="21"/>
                    </w:rPr>
                  </w:pPr>
                  <w:r>
                    <w:rPr>
                      <w:b/>
                      <w:sz w:val="21"/>
                      <w:szCs w:val="21"/>
                    </w:rPr>
                    <w:t>排放规律</w:t>
                  </w:r>
                </w:p>
              </w:tc>
              <w:tc>
                <w:tcPr>
                  <w:tcW w:w="472" w:type="dxa"/>
                  <w:vMerge w:val="restart"/>
                  <w:tcMar>
                    <w:left w:w="0" w:type="dxa"/>
                    <w:right w:w="0" w:type="dxa"/>
                  </w:tcMar>
                  <w:vAlign w:val="center"/>
                </w:tcPr>
                <w:p>
                  <w:pPr>
                    <w:pStyle w:val="8"/>
                    <w:widowControl w:val="0"/>
                    <w:snapToGrid/>
                    <w:spacing w:before="0" w:after="0" w:line="240" w:lineRule="auto"/>
                    <w:ind w:right="0"/>
                    <w:jc w:val="center"/>
                    <w:rPr>
                      <w:b/>
                      <w:sz w:val="21"/>
                      <w:szCs w:val="21"/>
                    </w:rPr>
                  </w:pPr>
                  <w:r>
                    <w:rPr>
                      <w:b/>
                      <w:sz w:val="21"/>
                      <w:szCs w:val="21"/>
                    </w:rPr>
                    <w:t>间歇排放时段</w:t>
                  </w:r>
                </w:p>
              </w:tc>
              <w:tc>
                <w:tcPr>
                  <w:tcW w:w="2524" w:type="dxa"/>
                  <w:gridSpan w:val="3"/>
                  <w:tcMar>
                    <w:left w:w="0" w:type="dxa"/>
                    <w:right w:w="0" w:type="dxa"/>
                  </w:tcMar>
                  <w:vAlign w:val="center"/>
                </w:tcPr>
                <w:p>
                  <w:pPr>
                    <w:pStyle w:val="8"/>
                    <w:widowControl w:val="0"/>
                    <w:snapToGrid/>
                    <w:spacing w:before="0" w:after="0" w:line="240" w:lineRule="auto"/>
                    <w:ind w:right="0"/>
                    <w:jc w:val="center"/>
                    <w:rPr>
                      <w:b/>
                      <w:sz w:val="21"/>
                      <w:szCs w:val="21"/>
                    </w:rPr>
                  </w:pPr>
                  <w:r>
                    <w:rPr>
                      <w:b/>
                      <w:sz w:val="21"/>
                      <w:szCs w:val="21"/>
                    </w:rPr>
                    <w:t>受纳污水处理厂信息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273" w:type="dxa"/>
                  <w:vMerge w:val="continue"/>
                  <w:tcMar>
                    <w:left w:w="0" w:type="dxa"/>
                    <w:right w:w="0" w:type="dxa"/>
                  </w:tcMar>
                  <w:vAlign w:val="center"/>
                </w:tcPr>
                <w:p>
                  <w:pPr>
                    <w:pStyle w:val="8"/>
                    <w:widowControl w:val="0"/>
                    <w:snapToGrid/>
                    <w:spacing w:before="0" w:after="0" w:line="240" w:lineRule="auto"/>
                    <w:ind w:right="0"/>
                    <w:jc w:val="center"/>
                    <w:rPr>
                      <w:b/>
                      <w:sz w:val="21"/>
                      <w:szCs w:val="21"/>
                    </w:rPr>
                  </w:pPr>
                </w:p>
              </w:tc>
              <w:tc>
                <w:tcPr>
                  <w:tcW w:w="764" w:type="dxa"/>
                  <w:vMerge w:val="continue"/>
                  <w:tcMar>
                    <w:left w:w="0" w:type="dxa"/>
                    <w:right w:w="0" w:type="dxa"/>
                  </w:tcMar>
                  <w:vAlign w:val="center"/>
                </w:tcPr>
                <w:p>
                  <w:pPr>
                    <w:pStyle w:val="8"/>
                    <w:widowControl w:val="0"/>
                    <w:snapToGrid/>
                    <w:spacing w:before="0" w:after="0" w:line="240" w:lineRule="auto"/>
                    <w:ind w:right="0"/>
                    <w:jc w:val="center"/>
                    <w:rPr>
                      <w:b/>
                      <w:sz w:val="21"/>
                      <w:szCs w:val="21"/>
                    </w:rPr>
                  </w:pPr>
                </w:p>
              </w:tc>
              <w:tc>
                <w:tcPr>
                  <w:tcW w:w="1220" w:type="dxa"/>
                  <w:tcMar>
                    <w:left w:w="0" w:type="dxa"/>
                    <w:right w:w="0" w:type="dxa"/>
                  </w:tcMar>
                  <w:vAlign w:val="center"/>
                </w:tcPr>
                <w:p>
                  <w:pPr>
                    <w:pStyle w:val="8"/>
                    <w:widowControl w:val="0"/>
                    <w:snapToGrid/>
                    <w:spacing w:before="0" w:after="0" w:line="240" w:lineRule="auto"/>
                    <w:ind w:right="0"/>
                    <w:jc w:val="center"/>
                    <w:rPr>
                      <w:b/>
                      <w:sz w:val="21"/>
                      <w:szCs w:val="21"/>
                    </w:rPr>
                  </w:pPr>
                  <w:r>
                    <w:rPr>
                      <w:b/>
                      <w:sz w:val="21"/>
                      <w:szCs w:val="21"/>
                    </w:rPr>
                    <w:t>经度</w:t>
                  </w:r>
                </w:p>
              </w:tc>
              <w:tc>
                <w:tcPr>
                  <w:tcW w:w="1139" w:type="dxa"/>
                  <w:tcMar>
                    <w:left w:w="0" w:type="dxa"/>
                    <w:right w:w="0" w:type="dxa"/>
                  </w:tcMar>
                  <w:vAlign w:val="center"/>
                </w:tcPr>
                <w:p>
                  <w:pPr>
                    <w:pStyle w:val="8"/>
                    <w:widowControl w:val="0"/>
                    <w:snapToGrid/>
                    <w:spacing w:before="0" w:after="0" w:line="240" w:lineRule="auto"/>
                    <w:ind w:right="0"/>
                    <w:jc w:val="center"/>
                    <w:rPr>
                      <w:b/>
                      <w:sz w:val="21"/>
                      <w:szCs w:val="21"/>
                    </w:rPr>
                  </w:pPr>
                  <w:r>
                    <w:rPr>
                      <w:b/>
                      <w:sz w:val="21"/>
                      <w:szCs w:val="21"/>
                    </w:rPr>
                    <w:t>纬度</w:t>
                  </w:r>
                </w:p>
              </w:tc>
              <w:tc>
                <w:tcPr>
                  <w:tcW w:w="652" w:type="dxa"/>
                  <w:vMerge w:val="continue"/>
                  <w:tcMar>
                    <w:left w:w="0" w:type="dxa"/>
                    <w:right w:w="0" w:type="dxa"/>
                  </w:tcMar>
                  <w:vAlign w:val="center"/>
                </w:tcPr>
                <w:p>
                  <w:pPr>
                    <w:pStyle w:val="8"/>
                    <w:widowControl w:val="0"/>
                    <w:snapToGrid/>
                    <w:spacing w:before="0" w:after="0" w:line="240" w:lineRule="auto"/>
                    <w:ind w:right="0"/>
                    <w:jc w:val="center"/>
                    <w:rPr>
                      <w:b/>
                      <w:sz w:val="21"/>
                      <w:szCs w:val="21"/>
                    </w:rPr>
                  </w:pPr>
                </w:p>
              </w:tc>
              <w:tc>
                <w:tcPr>
                  <w:tcW w:w="485" w:type="dxa"/>
                  <w:vMerge w:val="continue"/>
                  <w:tcMar>
                    <w:left w:w="0" w:type="dxa"/>
                    <w:right w:w="0" w:type="dxa"/>
                  </w:tcMar>
                  <w:vAlign w:val="center"/>
                </w:tcPr>
                <w:p>
                  <w:pPr>
                    <w:pStyle w:val="8"/>
                    <w:widowControl w:val="0"/>
                    <w:snapToGrid/>
                    <w:spacing w:before="0" w:after="0" w:line="240" w:lineRule="auto"/>
                    <w:ind w:right="0"/>
                    <w:jc w:val="center"/>
                    <w:rPr>
                      <w:b/>
                      <w:sz w:val="21"/>
                      <w:szCs w:val="21"/>
                    </w:rPr>
                  </w:pPr>
                </w:p>
              </w:tc>
              <w:tc>
                <w:tcPr>
                  <w:tcW w:w="623" w:type="dxa"/>
                  <w:vMerge w:val="continue"/>
                  <w:tcMar>
                    <w:left w:w="0" w:type="dxa"/>
                    <w:right w:w="0" w:type="dxa"/>
                  </w:tcMar>
                  <w:vAlign w:val="center"/>
                </w:tcPr>
                <w:p>
                  <w:pPr>
                    <w:pStyle w:val="8"/>
                    <w:widowControl w:val="0"/>
                    <w:snapToGrid/>
                    <w:spacing w:before="0" w:after="0" w:line="240" w:lineRule="auto"/>
                    <w:ind w:right="0"/>
                    <w:jc w:val="center"/>
                    <w:rPr>
                      <w:b/>
                      <w:sz w:val="21"/>
                      <w:szCs w:val="21"/>
                    </w:rPr>
                  </w:pPr>
                </w:p>
              </w:tc>
              <w:tc>
                <w:tcPr>
                  <w:tcW w:w="472" w:type="dxa"/>
                  <w:vMerge w:val="continue"/>
                  <w:tcMar>
                    <w:left w:w="0" w:type="dxa"/>
                    <w:right w:w="0" w:type="dxa"/>
                  </w:tcMar>
                  <w:vAlign w:val="center"/>
                </w:tcPr>
                <w:p>
                  <w:pPr>
                    <w:pStyle w:val="8"/>
                    <w:widowControl w:val="0"/>
                    <w:snapToGrid/>
                    <w:spacing w:before="0" w:after="0" w:line="240" w:lineRule="auto"/>
                    <w:ind w:right="0"/>
                    <w:jc w:val="center"/>
                    <w:rPr>
                      <w:b/>
                      <w:sz w:val="21"/>
                      <w:szCs w:val="21"/>
                    </w:rPr>
                  </w:pPr>
                </w:p>
              </w:tc>
              <w:tc>
                <w:tcPr>
                  <w:tcW w:w="880" w:type="dxa"/>
                  <w:tcMar>
                    <w:left w:w="0" w:type="dxa"/>
                    <w:right w:w="0" w:type="dxa"/>
                  </w:tcMar>
                  <w:vAlign w:val="center"/>
                </w:tcPr>
                <w:p>
                  <w:pPr>
                    <w:pStyle w:val="8"/>
                    <w:widowControl w:val="0"/>
                    <w:snapToGrid/>
                    <w:spacing w:before="0" w:after="0" w:line="240" w:lineRule="auto"/>
                    <w:ind w:right="0"/>
                    <w:jc w:val="center"/>
                    <w:rPr>
                      <w:b/>
                      <w:sz w:val="21"/>
                      <w:szCs w:val="21"/>
                    </w:rPr>
                  </w:pPr>
                  <w:r>
                    <w:rPr>
                      <w:b/>
                      <w:sz w:val="21"/>
                      <w:szCs w:val="21"/>
                    </w:rPr>
                    <w:t>名称</w:t>
                  </w:r>
                </w:p>
              </w:tc>
              <w:tc>
                <w:tcPr>
                  <w:tcW w:w="658" w:type="dxa"/>
                  <w:tcMar>
                    <w:left w:w="0" w:type="dxa"/>
                    <w:right w:w="0" w:type="dxa"/>
                  </w:tcMar>
                  <w:vAlign w:val="center"/>
                </w:tcPr>
                <w:p>
                  <w:pPr>
                    <w:pStyle w:val="8"/>
                    <w:widowControl w:val="0"/>
                    <w:snapToGrid/>
                    <w:spacing w:before="0" w:after="0" w:line="240" w:lineRule="auto"/>
                    <w:ind w:right="0"/>
                    <w:jc w:val="center"/>
                    <w:rPr>
                      <w:b/>
                      <w:sz w:val="21"/>
                      <w:szCs w:val="21"/>
                    </w:rPr>
                  </w:pPr>
                  <w:r>
                    <w:rPr>
                      <w:b/>
                      <w:sz w:val="21"/>
                      <w:szCs w:val="21"/>
                    </w:rPr>
                    <w:t>污染物种类</w:t>
                  </w:r>
                </w:p>
              </w:tc>
              <w:tc>
                <w:tcPr>
                  <w:tcW w:w="986" w:type="dxa"/>
                  <w:tcMar>
                    <w:left w:w="0" w:type="dxa"/>
                    <w:right w:w="0" w:type="dxa"/>
                  </w:tcMar>
                  <w:vAlign w:val="center"/>
                </w:tcPr>
                <w:p>
                  <w:pPr>
                    <w:pStyle w:val="8"/>
                    <w:widowControl w:val="0"/>
                    <w:snapToGrid/>
                    <w:spacing w:before="0" w:after="0" w:line="240" w:lineRule="auto"/>
                    <w:ind w:right="0"/>
                    <w:jc w:val="center"/>
                    <w:rPr>
                      <w:b/>
                      <w:sz w:val="21"/>
                      <w:szCs w:val="21"/>
                    </w:rPr>
                  </w:pPr>
                  <w:r>
                    <w:rPr>
                      <w:b/>
                      <w:sz w:val="21"/>
                      <w:szCs w:val="21"/>
                    </w:rPr>
                    <w:t>国家或地方污染物排放标准浓度限值（mg/L）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73" w:type="dxa"/>
                  <w:tcMar>
                    <w:left w:w="0" w:type="dxa"/>
                    <w:right w:w="0" w:type="dxa"/>
                  </w:tcMar>
                  <w:vAlign w:val="center"/>
                </w:tcPr>
                <w:p>
                  <w:pPr>
                    <w:pStyle w:val="8"/>
                    <w:widowControl w:val="0"/>
                    <w:snapToGrid/>
                    <w:spacing w:before="0" w:after="0" w:line="240" w:lineRule="auto"/>
                    <w:ind w:right="0"/>
                    <w:jc w:val="center"/>
                    <w:rPr>
                      <w:sz w:val="21"/>
                      <w:szCs w:val="21"/>
                    </w:rPr>
                  </w:pPr>
                  <w:r>
                    <w:rPr>
                      <w:sz w:val="21"/>
                      <w:szCs w:val="21"/>
                    </w:rPr>
                    <w:t>1</w:t>
                  </w:r>
                </w:p>
              </w:tc>
              <w:tc>
                <w:tcPr>
                  <w:tcW w:w="764" w:type="dxa"/>
                  <w:vMerge w:val="restart"/>
                  <w:tcMar>
                    <w:left w:w="0" w:type="dxa"/>
                    <w:right w:w="0" w:type="dxa"/>
                  </w:tcMar>
                  <w:vAlign w:val="center"/>
                </w:tcPr>
                <w:p>
                  <w:pPr>
                    <w:pStyle w:val="8"/>
                    <w:widowControl w:val="0"/>
                    <w:snapToGrid/>
                    <w:spacing w:before="0" w:after="0" w:line="240" w:lineRule="auto"/>
                    <w:ind w:right="0"/>
                    <w:jc w:val="center"/>
                    <w:rPr>
                      <w:sz w:val="21"/>
                      <w:szCs w:val="21"/>
                    </w:rPr>
                  </w:pPr>
                  <w:r>
                    <w:rPr>
                      <w:rFonts w:hint="eastAsia"/>
                      <w:sz w:val="21"/>
                      <w:szCs w:val="21"/>
                      <w:lang w:val="en-US" w:eastAsia="zh-CN"/>
                    </w:rPr>
                    <w:t>DW</w:t>
                  </w:r>
                  <w:r>
                    <w:rPr>
                      <w:sz w:val="21"/>
                      <w:szCs w:val="21"/>
                    </w:rPr>
                    <w:t>001</w:t>
                  </w:r>
                </w:p>
              </w:tc>
              <w:tc>
                <w:tcPr>
                  <w:tcW w:w="1220" w:type="dxa"/>
                  <w:vMerge w:val="restart"/>
                  <w:tcMar>
                    <w:left w:w="0" w:type="dxa"/>
                    <w:right w:w="0" w:type="dxa"/>
                  </w:tcMar>
                  <w:vAlign w:val="center"/>
                </w:tcPr>
                <w:p>
                  <w:pPr>
                    <w:pStyle w:val="8"/>
                    <w:widowControl w:val="0"/>
                    <w:snapToGrid/>
                    <w:spacing w:before="0" w:after="0" w:line="240" w:lineRule="auto"/>
                    <w:ind w:right="0"/>
                    <w:jc w:val="center"/>
                    <w:rPr>
                      <w:sz w:val="21"/>
                      <w:szCs w:val="21"/>
                    </w:rPr>
                  </w:pPr>
                  <w:r>
                    <w:rPr>
                      <w:sz w:val="21"/>
                      <w:szCs w:val="21"/>
                    </w:rPr>
                    <w:t>119.97254°E</w:t>
                  </w:r>
                </w:p>
              </w:tc>
              <w:tc>
                <w:tcPr>
                  <w:tcW w:w="1139" w:type="dxa"/>
                  <w:vMerge w:val="restart"/>
                  <w:tcMar>
                    <w:left w:w="0" w:type="dxa"/>
                    <w:right w:w="0" w:type="dxa"/>
                  </w:tcMar>
                  <w:vAlign w:val="center"/>
                </w:tcPr>
                <w:p>
                  <w:pPr>
                    <w:pStyle w:val="8"/>
                    <w:widowControl w:val="0"/>
                    <w:snapToGrid/>
                    <w:spacing w:before="0" w:after="0" w:line="240" w:lineRule="auto"/>
                    <w:ind w:right="0"/>
                    <w:jc w:val="center"/>
                    <w:rPr>
                      <w:sz w:val="21"/>
                      <w:szCs w:val="21"/>
                    </w:rPr>
                  </w:pPr>
                  <w:r>
                    <w:rPr>
                      <w:sz w:val="21"/>
                      <w:szCs w:val="21"/>
                    </w:rPr>
                    <w:t>31.639881°N</w:t>
                  </w:r>
                </w:p>
              </w:tc>
              <w:tc>
                <w:tcPr>
                  <w:tcW w:w="652" w:type="dxa"/>
                  <w:vMerge w:val="restart"/>
                  <w:tcMar>
                    <w:left w:w="0" w:type="dxa"/>
                    <w:right w:w="0" w:type="dxa"/>
                  </w:tcMar>
                  <w:vAlign w:val="center"/>
                </w:tcPr>
                <w:p>
                  <w:pPr>
                    <w:pStyle w:val="8"/>
                    <w:widowControl w:val="0"/>
                    <w:snapToGrid/>
                    <w:spacing w:before="0" w:after="0" w:line="240" w:lineRule="auto"/>
                    <w:ind w:right="0"/>
                    <w:jc w:val="center"/>
                    <w:rPr>
                      <w:rFonts w:hint="default" w:eastAsia="宋体"/>
                      <w:sz w:val="21"/>
                      <w:szCs w:val="21"/>
                      <w:lang w:val="en-US" w:eastAsia="zh-CN"/>
                    </w:rPr>
                  </w:pPr>
                  <w:r>
                    <w:rPr>
                      <w:sz w:val="21"/>
                      <w:szCs w:val="21"/>
                    </w:rPr>
                    <w:t>0.</w:t>
                  </w:r>
                  <w:r>
                    <w:rPr>
                      <w:rFonts w:hint="eastAsia"/>
                      <w:sz w:val="21"/>
                      <w:szCs w:val="21"/>
                    </w:rPr>
                    <w:t>0</w:t>
                  </w:r>
                  <w:r>
                    <w:rPr>
                      <w:rFonts w:hint="eastAsia"/>
                      <w:sz w:val="21"/>
                      <w:szCs w:val="21"/>
                      <w:lang w:val="en-US" w:eastAsia="zh-CN"/>
                    </w:rPr>
                    <w:t>192</w:t>
                  </w:r>
                </w:p>
              </w:tc>
              <w:tc>
                <w:tcPr>
                  <w:tcW w:w="485" w:type="dxa"/>
                  <w:vMerge w:val="restart"/>
                  <w:tcMar>
                    <w:left w:w="0" w:type="dxa"/>
                    <w:right w:w="0" w:type="dxa"/>
                  </w:tcMar>
                  <w:vAlign w:val="center"/>
                </w:tcPr>
                <w:p>
                  <w:pPr>
                    <w:pStyle w:val="8"/>
                    <w:widowControl w:val="0"/>
                    <w:snapToGrid/>
                    <w:spacing w:before="0" w:after="0" w:line="240" w:lineRule="auto"/>
                    <w:ind w:right="0"/>
                    <w:jc w:val="center"/>
                    <w:rPr>
                      <w:rFonts w:hint="eastAsia" w:eastAsia="宋体"/>
                      <w:sz w:val="21"/>
                      <w:szCs w:val="21"/>
                      <w:lang w:eastAsia="zh-CN"/>
                    </w:rPr>
                  </w:pPr>
                  <w:r>
                    <w:rPr>
                      <w:rFonts w:hint="eastAsia"/>
                      <w:sz w:val="21"/>
                      <w:szCs w:val="21"/>
                      <w:lang w:eastAsia="zh-CN"/>
                    </w:rPr>
                    <w:t>常州武南污水处理厂</w:t>
                  </w:r>
                </w:p>
              </w:tc>
              <w:tc>
                <w:tcPr>
                  <w:tcW w:w="623" w:type="dxa"/>
                  <w:vMerge w:val="restart"/>
                  <w:tcMar>
                    <w:left w:w="0" w:type="dxa"/>
                    <w:right w:w="0" w:type="dxa"/>
                  </w:tcMar>
                  <w:vAlign w:val="center"/>
                </w:tcPr>
                <w:p>
                  <w:pPr>
                    <w:pStyle w:val="8"/>
                    <w:widowControl w:val="0"/>
                    <w:snapToGrid/>
                    <w:spacing w:before="0" w:after="0" w:line="240" w:lineRule="auto"/>
                    <w:ind w:right="0"/>
                    <w:jc w:val="center"/>
                    <w:rPr>
                      <w:sz w:val="21"/>
                      <w:szCs w:val="21"/>
                    </w:rPr>
                  </w:pPr>
                  <w:r>
                    <w:rPr>
                      <w:bCs/>
                      <w:sz w:val="21"/>
                      <w:szCs w:val="21"/>
                    </w:rPr>
                    <w:t>间断排放，排放期间流量不稳定</w:t>
                  </w:r>
                </w:p>
              </w:tc>
              <w:tc>
                <w:tcPr>
                  <w:tcW w:w="472" w:type="dxa"/>
                  <w:vMerge w:val="restart"/>
                  <w:tcMar>
                    <w:left w:w="0" w:type="dxa"/>
                    <w:right w:w="0" w:type="dxa"/>
                  </w:tcMar>
                  <w:vAlign w:val="center"/>
                </w:tcPr>
                <w:p>
                  <w:pPr>
                    <w:pStyle w:val="8"/>
                    <w:widowControl w:val="0"/>
                    <w:snapToGrid/>
                    <w:spacing w:before="0" w:after="0" w:line="240" w:lineRule="auto"/>
                    <w:ind w:right="0"/>
                    <w:jc w:val="center"/>
                    <w:rPr>
                      <w:sz w:val="21"/>
                      <w:szCs w:val="21"/>
                    </w:rPr>
                  </w:pPr>
                  <w:r>
                    <w:rPr>
                      <w:sz w:val="21"/>
                      <w:szCs w:val="21"/>
                    </w:rPr>
                    <w:t>/</w:t>
                  </w:r>
                </w:p>
              </w:tc>
              <w:tc>
                <w:tcPr>
                  <w:tcW w:w="880" w:type="dxa"/>
                  <w:vMerge w:val="restart"/>
                  <w:tcMar>
                    <w:left w:w="0" w:type="dxa"/>
                    <w:right w:w="0" w:type="dxa"/>
                  </w:tcMar>
                  <w:vAlign w:val="center"/>
                </w:tcPr>
                <w:p>
                  <w:pPr>
                    <w:pStyle w:val="8"/>
                    <w:widowControl w:val="0"/>
                    <w:snapToGrid/>
                    <w:spacing w:before="0" w:after="0" w:line="240" w:lineRule="auto"/>
                    <w:ind w:right="0"/>
                    <w:jc w:val="center"/>
                    <w:rPr>
                      <w:rFonts w:hint="eastAsia" w:eastAsia="宋体"/>
                      <w:sz w:val="21"/>
                      <w:szCs w:val="21"/>
                      <w:lang w:eastAsia="zh-CN"/>
                    </w:rPr>
                  </w:pPr>
                  <w:r>
                    <w:rPr>
                      <w:rFonts w:hint="eastAsia"/>
                      <w:sz w:val="21"/>
                      <w:szCs w:val="21"/>
                      <w:lang w:eastAsia="zh-CN"/>
                    </w:rPr>
                    <w:t>常州武南污水处理厂</w:t>
                  </w:r>
                </w:p>
              </w:tc>
              <w:tc>
                <w:tcPr>
                  <w:tcW w:w="658" w:type="dxa"/>
                  <w:tcMar>
                    <w:left w:w="0" w:type="dxa"/>
                    <w:right w:w="0" w:type="dxa"/>
                  </w:tcMar>
                  <w:vAlign w:val="center"/>
                </w:tcPr>
                <w:p>
                  <w:pPr>
                    <w:pStyle w:val="8"/>
                    <w:widowControl w:val="0"/>
                    <w:snapToGrid/>
                    <w:spacing w:before="0" w:after="0" w:line="240" w:lineRule="auto"/>
                    <w:ind w:right="0"/>
                    <w:jc w:val="center"/>
                    <w:rPr>
                      <w:sz w:val="21"/>
                      <w:szCs w:val="21"/>
                    </w:rPr>
                  </w:pPr>
                  <w:r>
                    <w:rPr>
                      <w:sz w:val="21"/>
                      <w:szCs w:val="21"/>
                    </w:rPr>
                    <w:t>COD</w:t>
                  </w:r>
                </w:p>
              </w:tc>
              <w:tc>
                <w:tcPr>
                  <w:tcW w:w="986" w:type="dxa"/>
                  <w:tcMar>
                    <w:left w:w="0" w:type="dxa"/>
                    <w:right w:w="0" w:type="dxa"/>
                  </w:tcMar>
                  <w:vAlign w:val="center"/>
                </w:tcPr>
                <w:p>
                  <w:pPr>
                    <w:jc w:val="center"/>
                    <w:rPr>
                      <w:bCs/>
                      <w:szCs w:val="21"/>
                    </w:rPr>
                  </w:pPr>
                  <w:r>
                    <w:rPr>
                      <w:szCs w:val="21"/>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73" w:type="dxa"/>
                  <w:tcMar>
                    <w:left w:w="0" w:type="dxa"/>
                    <w:right w:w="0" w:type="dxa"/>
                  </w:tcMar>
                  <w:vAlign w:val="center"/>
                </w:tcPr>
                <w:p>
                  <w:pPr>
                    <w:pStyle w:val="8"/>
                    <w:widowControl w:val="0"/>
                    <w:snapToGrid/>
                    <w:spacing w:before="0" w:after="0" w:line="240" w:lineRule="auto"/>
                    <w:ind w:right="0"/>
                    <w:jc w:val="center"/>
                    <w:rPr>
                      <w:sz w:val="21"/>
                      <w:szCs w:val="21"/>
                    </w:rPr>
                  </w:pPr>
                  <w:r>
                    <w:rPr>
                      <w:sz w:val="21"/>
                      <w:szCs w:val="21"/>
                    </w:rPr>
                    <w:t>2</w:t>
                  </w:r>
                </w:p>
              </w:tc>
              <w:tc>
                <w:tcPr>
                  <w:tcW w:w="764"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1220"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1139"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652"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485"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623"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472"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880"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658" w:type="dxa"/>
                  <w:tcMar>
                    <w:left w:w="0" w:type="dxa"/>
                    <w:right w:w="0" w:type="dxa"/>
                  </w:tcMar>
                  <w:vAlign w:val="center"/>
                </w:tcPr>
                <w:p>
                  <w:pPr>
                    <w:pStyle w:val="8"/>
                    <w:widowControl w:val="0"/>
                    <w:snapToGrid/>
                    <w:spacing w:before="0" w:after="0" w:line="240" w:lineRule="auto"/>
                    <w:ind w:right="0"/>
                    <w:jc w:val="center"/>
                    <w:rPr>
                      <w:sz w:val="21"/>
                      <w:szCs w:val="21"/>
                    </w:rPr>
                  </w:pPr>
                  <w:r>
                    <w:rPr>
                      <w:sz w:val="21"/>
                      <w:szCs w:val="21"/>
                    </w:rPr>
                    <w:t>SS</w:t>
                  </w:r>
                </w:p>
              </w:tc>
              <w:tc>
                <w:tcPr>
                  <w:tcW w:w="986" w:type="dxa"/>
                  <w:tcMar>
                    <w:left w:w="0" w:type="dxa"/>
                    <w:right w:w="0" w:type="dxa"/>
                  </w:tcMar>
                  <w:vAlign w:val="center"/>
                </w:tcPr>
                <w:p>
                  <w:pPr>
                    <w:jc w:val="center"/>
                    <w:rPr>
                      <w:bCs/>
                      <w:szCs w:val="21"/>
                    </w:rPr>
                  </w:pPr>
                  <w:r>
                    <w:rPr>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73" w:type="dxa"/>
                  <w:tcMar>
                    <w:left w:w="0" w:type="dxa"/>
                    <w:right w:w="0" w:type="dxa"/>
                  </w:tcMar>
                  <w:vAlign w:val="center"/>
                </w:tcPr>
                <w:p>
                  <w:pPr>
                    <w:pStyle w:val="8"/>
                    <w:widowControl w:val="0"/>
                    <w:snapToGrid/>
                    <w:spacing w:before="0" w:after="0" w:line="240" w:lineRule="auto"/>
                    <w:ind w:right="0"/>
                    <w:jc w:val="center"/>
                    <w:rPr>
                      <w:sz w:val="21"/>
                      <w:szCs w:val="21"/>
                    </w:rPr>
                  </w:pPr>
                  <w:r>
                    <w:rPr>
                      <w:sz w:val="21"/>
                      <w:szCs w:val="21"/>
                    </w:rPr>
                    <w:t>3</w:t>
                  </w:r>
                </w:p>
              </w:tc>
              <w:tc>
                <w:tcPr>
                  <w:tcW w:w="764"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1220"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1139"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652"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485"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623"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472"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880"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658" w:type="dxa"/>
                  <w:tcMar>
                    <w:left w:w="0" w:type="dxa"/>
                    <w:right w:w="0" w:type="dxa"/>
                  </w:tcMar>
                  <w:vAlign w:val="center"/>
                </w:tcPr>
                <w:p>
                  <w:pPr>
                    <w:pStyle w:val="8"/>
                    <w:widowControl w:val="0"/>
                    <w:snapToGrid/>
                    <w:spacing w:before="0" w:after="0" w:line="240" w:lineRule="auto"/>
                    <w:ind w:right="0"/>
                    <w:jc w:val="center"/>
                    <w:rPr>
                      <w:sz w:val="21"/>
                      <w:szCs w:val="21"/>
                    </w:rPr>
                  </w:pPr>
                  <w:r>
                    <w:rPr>
                      <w:sz w:val="21"/>
                      <w:szCs w:val="21"/>
                    </w:rPr>
                    <w:t>NH</w:t>
                  </w:r>
                  <w:r>
                    <w:rPr>
                      <w:sz w:val="21"/>
                      <w:szCs w:val="21"/>
                      <w:vertAlign w:val="subscript"/>
                    </w:rPr>
                    <w:t>3</w:t>
                  </w:r>
                  <w:r>
                    <w:rPr>
                      <w:sz w:val="21"/>
                      <w:szCs w:val="21"/>
                    </w:rPr>
                    <w:t>-N</w:t>
                  </w:r>
                </w:p>
              </w:tc>
              <w:tc>
                <w:tcPr>
                  <w:tcW w:w="986" w:type="dxa"/>
                  <w:tcMar>
                    <w:left w:w="0" w:type="dxa"/>
                    <w:right w:w="0" w:type="dxa"/>
                  </w:tcMar>
                  <w:vAlign w:val="center"/>
                </w:tcPr>
                <w:p>
                  <w:pPr>
                    <w:jc w:val="center"/>
                    <w:rPr>
                      <w:bCs/>
                      <w:szCs w:val="21"/>
                    </w:rPr>
                  </w:pPr>
                  <w:r>
                    <w:rPr>
                      <w:szCs w:val="21"/>
                    </w:rPr>
                    <w:t>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73" w:type="dxa"/>
                  <w:tcMar>
                    <w:left w:w="0" w:type="dxa"/>
                    <w:right w:w="0" w:type="dxa"/>
                  </w:tcMar>
                  <w:vAlign w:val="center"/>
                </w:tcPr>
                <w:p>
                  <w:pPr>
                    <w:pStyle w:val="8"/>
                    <w:widowControl w:val="0"/>
                    <w:snapToGrid/>
                    <w:spacing w:before="0" w:after="0" w:line="240" w:lineRule="auto"/>
                    <w:ind w:right="0"/>
                    <w:jc w:val="center"/>
                    <w:rPr>
                      <w:sz w:val="21"/>
                      <w:szCs w:val="21"/>
                    </w:rPr>
                  </w:pPr>
                  <w:r>
                    <w:rPr>
                      <w:sz w:val="21"/>
                      <w:szCs w:val="21"/>
                    </w:rPr>
                    <w:t>4</w:t>
                  </w:r>
                </w:p>
              </w:tc>
              <w:tc>
                <w:tcPr>
                  <w:tcW w:w="764"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1220"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1139"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652"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485"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623"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472"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880"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658" w:type="dxa"/>
                  <w:tcMar>
                    <w:left w:w="0" w:type="dxa"/>
                    <w:right w:w="0" w:type="dxa"/>
                  </w:tcMar>
                  <w:vAlign w:val="center"/>
                </w:tcPr>
                <w:p>
                  <w:pPr>
                    <w:pStyle w:val="8"/>
                    <w:widowControl w:val="0"/>
                    <w:snapToGrid/>
                    <w:spacing w:before="0" w:after="0" w:line="240" w:lineRule="auto"/>
                    <w:ind w:right="0"/>
                    <w:jc w:val="center"/>
                    <w:rPr>
                      <w:sz w:val="21"/>
                      <w:szCs w:val="21"/>
                    </w:rPr>
                  </w:pPr>
                  <w:r>
                    <w:rPr>
                      <w:sz w:val="21"/>
                      <w:szCs w:val="21"/>
                    </w:rPr>
                    <w:t>TP</w:t>
                  </w:r>
                </w:p>
              </w:tc>
              <w:tc>
                <w:tcPr>
                  <w:tcW w:w="986" w:type="dxa"/>
                  <w:tcMar>
                    <w:left w:w="0" w:type="dxa"/>
                    <w:right w:w="0" w:type="dxa"/>
                  </w:tcMar>
                  <w:vAlign w:val="center"/>
                </w:tcPr>
                <w:p>
                  <w:pPr>
                    <w:jc w:val="center"/>
                    <w:rPr>
                      <w:bCs/>
                      <w:szCs w:val="21"/>
                    </w:rPr>
                  </w:pPr>
                  <w:r>
                    <w:rPr>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jc w:val="center"/>
              </w:trPr>
              <w:tc>
                <w:tcPr>
                  <w:tcW w:w="273" w:type="dxa"/>
                  <w:tcMar>
                    <w:left w:w="0" w:type="dxa"/>
                    <w:right w:w="0" w:type="dxa"/>
                  </w:tcMar>
                  <w:vAlign w:val="center"/>
                </w:tcPr>
                <w:p>
                  <w:pPr>
                    <w:pStyle w:val="8"/>
                    <w:widowControl w:val="0"/>
                    <w:snapToGrid/>
                    <w:spacing w:before="0" w:after="0" w:line="240" w:lineRule="auto"/>
                    <w:ind w:right="0"/>
                    <w:jc w:val="center"/>
                    <w:rPr>
                      <w:sz w:val="21"/>
                      <w:szCs w:val="21"/>
                    </w:rPr>
                  </w:pPr>
                  <w:r>
                    <w:rPr>
                      <w:sz w:val="21"/>
                      <w:szCs w:val="21"/>
                    </w:rPr>
                    <w:t>5</w:t>
                  </w:r>
                </w:p>
              </w:tc>
              <w:tc>
                <w:tcPr>
                  <w:tcW w:w="764"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1220"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1139"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652"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485"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623"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472"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880" w:type="dxa"/>
                  <w:vMerge w:val="continue"/>
                  <w:tcMar>
                    <w:left w:w="0" w:type="dxa"/>
                    <w:right w:w="0" w:type="dxa"/>
                  </w:tcMar>
                  <w:vAlign w:val="center"/>
                </w:tcPr>
                <w:p>
                  <w:pPr>
                    <w:pStyle w:val="8"/>
                    <w:widowControl w:val="0"/>
                    <w:snapToGrid/>
                    <w:spacing w:before="0" w:after="0" w:line="240" w:lineRule="auto"/>
                    <w:ind w:right="0"/>
                    <w:jc w:val="center"/>
                    <w:rPr>
                      <w:sz w:val="21"/>
                      <w:szCs w:val="21"/>
                    </w:rPr>
                  </w:pPr>
                </w:p>
              </w:tc>
              <w:tc>
                <w:tcPr>
                  <w:tcW w:w="658" w:type="dxa"/>
                  <w:tcMar>
                    <w:left w:w="0" w:type="dxa"/>
                    <w:right w:w="0" w:type="dxa"/>
                  </w:tcMar>
                  <w:vAlign w:val="center"/>
                </w:tcPr>
                <w:p>
                  <w:pPr>
                    <w:pStyle w:val="8"/>
                    <w:widowControl w:val="0"/>
                    <w:snapToGrid/>
                    <w:spacing w:before="0" w:after="0" w:line="240" w:lineRule="auto"/>
                    <w:ind w:right="0"/>
                    <w:jc w:val="center"/>
                    <w:rPr>
                      <w:sz w:val="21"/>
                      <w:szCs w:val="21"/>
                    </w:rPr>
                  </w:pPr>
                  <w:r>
                    <w:rPr>
                      <w:sz w:val="21"/>
                      <w:szCs w:val="21"/>
                    </w:rPr>
                    <w:t>TN</w:t>
                  </w:r>
                </w:p>
              </w:tc>
              <w:tc>
                <w:tcPr>
                  <w:tcW w:w="986" w:type="dxa"/>
                  <w:tcMar>
                    <w:left w:w="0" w:type="dxa"/>
                    <w:right w:w="0" w:type="dxa"/>
                  </w:tcMar>
                  <w:vAlign w:val="center"/>
                </w:tcPr>
                <w:p>
                  <w:pPr>
                    <w:jc w:val="center"/>
                    <w:rPr>
                      <w:bCs/>
                      <w:szCs w:val="21"/>
                    </w:rPr>
                  </w:pPr>
                  <w:r>
                    <w:rPr>
                      <w:szCs w:val="21"/>
                    </w:rPr>
                    <w:t>12（15）</w:t>
                  </w:r>
                </w:p>
              </w:tc>
            </w:tr>
          </w:tbl>
          <w:p>
            <w:pPr>
              <w:adjustRightInd w:val="0"/>
              <w:snapToGrid w:val="0"/>
              <w:spacing w:line="360" w:lineRule="auto"/>
              <w:jc w:val="center"/>
              <w:rPr>
                <w:b/>
              </w:rPr>
            </w:pPr>
            <w:r>
              <w:rPr>
                <w:b/>
              </w:rPr>
              <w:t>表</w:t>
            </w:r>
            <w:r>
              <w:rPr>
                <w:rFonts w:hint="eastAsia"/>
                <w:b/>
              </w:rPr>
              <w:t>4-4</w:t>
            </w:r>
            <w:r>
              <w:rPr>
                <w:b/>
              </w:rPr>
              <w:t xml:space="preserve"> 废水污染物排放执行标准表</w:t>
            </w:r>
          </w:p>
          <w:tbl>
            <w:tblPr>
              <w:tblStyle w:val="21"/>
              <w:tblW w:w="815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24"/>
              <w:gridCol w:w="895"/>
              <w:gridCol w:w="3199"/>
              <w:gridCol w:w="23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622" w:type="dxa"/>
                  <w:vMerge w:val="restart"/>
                  <w:vAlign w:val="center"/>
                </w:tcPr>
                <w:p>
                  <w:pPr>
                    <w:adjustRightInd w:val="0"/>
                    <w:snapToGrid w:val="0"/>
                    <w:spacing w:line="320" w:lineRule="exact"/>
                    <w:jc w:val="center"/>
                    <w:rPr>
                      <w:b/>
                      <w:szCs w:val="21"/>
                    </w:rPr>
                  </w:pPr>
                  <w:r>
                    <w:rPr>
                      <w:b/>
                      <w:szCs w:val="21"/>
                    </w:rPr>
                    <w:t>序号</w:t>
                  </w:r>
                </w:p>
              </w:tc>
              <w:tc>
                <w:tcPr>
                  <w:tcW w:w="1124" w:type="dxa"/>
                  <w:vMerge w:val="restart"/>
                  <w:vAlign w:val="center"/>
                </w:tcPr>
                <w:p>
                  <w:pPr>
                    <w:adjustRightInd w:val="0"/>
                    <w:snapToGrid w:val="0"/>
                    <w:spacing w:line="320" w:lineRule="exact"/>
                    <w:jc w:val="center"/>
                    <w:rPr>
                      <w:b/>
                      <w:szCs w:val="21"/>
                    </w:rPr>
                  </w:pPr>
                  <w:r>
                    <w:rPr>
                      <w:b/>
                      <w:szCs w:val="21"/>
                    </w:rPr>
                    <w:t>排放口编号</w:t>
                  </w:r>
                </w:p>
              </w:tc>
              <w:tc>
                <w:tcPr>
                  <w:tcW w:w="895" w:type="dxa"/>
                  <w:vMerge w:val="restart"/>
                  <w:vAlign w:val="center"/>
                </w:tcPr>
                <w:p>
                  <w:pPr>
                    <w:adjustRightInd w:val="0"/>
                    <w:snapToGrid w:val="0"/>
                    <w:spacing w:line="320" w:lineRule="exact"/>
                    <w:jc w:val="center"/>
                    <w:rPr>
                      <w:b/>
                      <w:szCs w:val="21"/>
                    </w:rPr>
                  </w:pPr>
                  <w:r>
                    <w:rPr>
                      <w:b/>
                      <w:szCs w:val="21"/>
                    </w:rPr>
                    <w:t>污染物种类</w:t>
                  </w:r>
                </w:p>
              </w:tc>
              <w:tc>
                <w:tcPr>
                  <w:tcW w:w="5511" w:type="dxa"/>
                  <w:gridSpan w:val="2"/>
                  <w:vAlign w:val="center"/>
                </w:tcPr>
                <w:p>
                  <w:pPr>
                    <w:adjustRightInd w:val="0"/>
                    <w:snapToGrid w:val="0"/>
                    <w:spacing w:line="320" w:lineRule="exact"/>
                    <w:jc w:val="center"/>
                    <w:rPr>
                      <w:b/>
                      <w:szCs w:val="21"/>
                    </w:rPr>
                  </w:pPr>
                  <w:r>
                    <w:rPr>
                      <w:b/>
                      <w:szCs w:val="21"/>
                    </w:rPr>
                    <w:t>国家或地方污染物排放标准及其他按规定商定的排放协议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22" w:type="dxa"/>
                  <w:vMerge w:val="continue"/>
                  <w:vAlign w:val="center"/>
                </w:tcPr>
                <w:p>
                  <w:pPr>
                    <w:adjustRightInd w:val="0"/>
                    <w:snapToGrid w:val="0"/>
                    <w:spacing w:line="320" w:lineRule="exact"/>
                    <w:jc w:val="center"/>
                    <w:rPr>
                      <w:b/>
                      <w:szCs w:val="21"/>
                    </w:rPr>
                  </w:pPr>
                </w:p>
              </w:tc>
              <w:tc>
                <w:tcPr>
                  <w:tcW w:w="1124" w:type="dxa"/>
                  <w:vMerge w:val="continue"/>
                  <w:vAlign w:val="center"/>
                </w:tcPr>
                <w:p>
                  <w:pPr>
                    <w:adjustRightInd w:val="0"/>
                    <w:snapToGrid w:val="0"/>
                    <w:spacing w:line="320" w:lineRule="exact"/>
                    <w:jc w:val="center"/>
                    <w:rPr>
                      <w:b/>
                      <w:szCs w:val="21"/>
                    </w:rPr>
                  </w:pPr>
                </w:p>
              </w:tc>
              <w:tc>
                <w:tcPr>
                  <w:tcW w:w="895" w:type="dxa"/>
                  <w:vMerge w:val="continue"/>
                  <w:vAlign w:val="center"/>
                </w:tcPr>
                <w:p>
                  <w:pPr>
                    <w:adjustRightInd w:val="0"/>
                    <w:snapToGrid w:val="0"/>
                    <w:spacing w:line="320" w:lineRule="exact"/>
                    <w:jc w:val="center"/>
                    <w:rPr>
                      <w:b/>
                      <w:szCs w:val="21"/>
                    </w:rPr>
                  </w:pPr>
                </w:p>
              </w:tc>
              <w:tc>
                <w:tcPr>
                  <w:tcW w:w="3199" w:type="dxa"/>
                  <w:vAlign w:val="center"/>
                </w:tcPr>
                <w:p>
                  <w:pPr>
                    <w:adjustRightInd w:val="0"/>
                    <w:snapToGrid w:val="0"/>
                    <w:spacing w:line="320" w:lineRule="exact"/>
                    <w:jc w:val="center"/>
                    <w:rPr>
                      <w:b/>
                      <w:szCs w:val="21"/>
                    </w:rPr>
                  </w:pPr>
                  <w:r>
                    <w:rPr>
                      <w:b/>
                      <w:szCs w:val="21"/>
                    </w:rPr>
                    <w:t>名称</w:t>
                  </w:r>
                </w:p>
              </w:tc>
              <w:tc>
                <w:tcPr>
                  <w:tcW w:w="2312" w:type="dxa"/>
                  <w:vAlign w:val="center"/>
                </w:tcPr>
                <w:p>
                  <w:pPr>
                    <w:adjustRightInd w:val="0"/>
                    <w:snapToGrid w:val="0"/>
                    <w:spacing w:line="320" w:lineRule="exact"/>
                    <w:jc w:val="center"/>
                    <w:rPr>
                      <w:b/>
                      <w:szCs w:val="21"/>
                    </w:rPr>
                  </w:pPr>
                  <w:r>
                    <w:rPr>
                      <w:b/>
                      <w:szCs w:val="21"/>
                    </w:rPr>
                    <w:t>浓度限值（mg/L）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22" w:type="dxa"/>
                  <w:vAlign w:val="center"/>
                </w:tcPr>
                <w:p>
                  <w:pPr>
                    <w:adjustRightInd w:val="0"/>
                    <w:snapToGrid w:val="0"/>
                    <w:spacing w:line="320" w:lineRule="exact"/>
                    <w:jc w:val="center"/>
                    <w:rPr>
                      <w:bCs/>
                      <w:szCs w:val="21"/>
                    </w:rPr>
                  </w:pPr>
                  <w:r>
                    <w:rPr>
                      <w:bCs/>
                      <w:szCs w:val="21"/>
                    </w:rPr>
                    <w:t>1</w:t>
                  </w:r>
                </w:p>
              </w:tc>
              <w:tc>
                <w:tcPr>
                  <w:tcW w:w="1124" w:type="dxa"/>
                  <w:vMerge w:val="restart"/>
                  <w:vAlign w:val="center"/>
                </w:tcPr>
                <w:p>
                  <w:pPr>
                    <w:adjustRightInd w:val="0"/>
                    <w:snapToGrid w:val="0"/>
                    <w:spacing w:line="320" w:lineRule="exact"/>
                    <w:jc w:val="center"/>
                    <w:rPr>
                      <w:bCs/>
                      <w:szCs w:val="21"/>
                    </w:rPr>
                  </w:pPr>
                  <w:r>
                    <w:rPr>
                      <w:rFonts w:hint="eastAsia"/>
                      <w:sz w:val="21"/>
                      <w:szCs w:val="21"/>
                      <w:lang w:val="en-US" w:eastAsia="zh-CN"/>
                    </w:rPr>
                    <w:t>DW</w:t>
                  </w:r>
                  <w:r>
                    <w:rPr>
                      <w:sz w:val="21"/>
                      <w:szCs w:val="21"/>
                    </w:rPr>
                    <w:t>001</w:t>
                  </w:r>
                </w:p>
              </w:tc>
              <w:tc>
                <w:tcPr>
                  <w:tcW w:w="895" w:type="dxa"/>
                  <w:vAlign w:val="center"/>
                </w:tcPr>
                <w:p>
                  <w:pPr>
                    <w:spacing w:line="320" w:lineRule="exact"/>
                    <w:jc w:val="center"/>
                    <w:rPr>
                      <w:bCs/>
                      <w:szCs w:val="21"/>
                    </w:rPr>
                  </w:pPr>
                  <w:r>
                    <w:rPr>
                      <w:szCs w:val="21"/>
                    </w:rPr>
                    <w:t>COD</w:t>
                  </w:r>
                </w:p>
              </w:tc>
              <w:tc>
                <w:tcPr>
                  <w:tcW w:w="3199" w:type="dxa"/>
                  <w:vMerge w:val="restart"/>
                  <w:vAlign w:val="center"/>
                </w:tcPr>
                <w:p>
                  <w:pPr>
                    <w:adjustRightInd w:val="0"/>
                    <w:snapToGrid w:val="0"/>
                    <w:spacing w:line="320" w:lineRule="exact"/>
                    <w:jc w:val="center"/>
                    <w:rPr>
                      <w:bCs/>
                      <w:szCs w:val="21"/>
                    </w:rPr>
                  </w:pPr>
                  <w:r>
                    <w:rPr>
                      <w:szCs w:val="21"/>
                    </w:rPr>
                    <w:t>《污水排入城镇下水道水质标准》(GB/T31962-2015)表1B等级</w:t>
                  </w:r>
                </w:p>
              </w:tc>
              <w:tc>
                <w:tcPr>
                  <w:tcW w:w="2312" w:type="dxa"/>
                  <w:vAlign w:val="center"/>
                </w:tcPr>
                <w:p>
                  <w:pPr>
                    <w:adjustRightInd w:val="0"/>
                    <w:snapToGrid w:val="0"/>
                    <w:spacing w:line="320" w:lineRule="exact"/>
                    <w:jc w:val="center"/>
                    <w:rPr>
                      <w:bCs/>
                      <w:szCs w:val="21"/>
                    </w:rPr>
                  </w:pPr>
                  <w:r>
                    <w:rPr>
                      <w:bCs/>
                      <w:szCs w:val="21"/>
                    </w:rPr>
                    <w:t>500</w:t>
                  </w:r>
                </w:p>
              </w:tc>
            </w:tr>
            <w:tr>
              <w:tblPrEx>
                <w:tblLayout w:type="fixed"/>
                <w:tblCellMar>
                  <w:top w:w="0" w:type="dxa"/>
                  <w:left w:w="108" w:type="dxa"/>
                  <w:bottom w:w="0" w:type="dxa"/>
                  <w:right w:w="108" w:type="dxa"/>
                </w:tblCellMar>
              </w:tblPrEx>
              <w:trPr>
                <w:trHeight w:val="248" w:hRule="atLeast"/>
                <w:jc w:val="center"/>
              </w:trPr>
              <w:tc>
                <w:tcPr>
                  <w:tcW w:w="622" w:type="dxa"/>
                  <w:vAlign w:val="center"/>
                </w:tcPr>
                <w:p>
                  <w:pPr>
                    <w:adjustRightInd w:val="0"/>
                    <w:snapToGrid w:val="0"/>
                    <w:spacing w:line="320" w:lineRule="exact"/>
                    <w:jc w:val="center"/>
                    <w:rPr>
                      <w:bCs/>
                      <w:szCs w:val="21"/>
                    </w:rPr>
                  </w:pPr>
                  <w:r>
                    <w:rPr>
                      <w:bCs/>
                      <w:szCs w:val="21"/>
                    </w:rPr>
                    <w:t>2</w:t>
                  </w:r>
                </w:p>
              </w:tc>
              <w:tc>
                <w:tcPr>
                  <w:tcW w:w="1124" w:type="dxa"/>
                  <w:vMerge w:val="continue"/>
                  <w:vAlign w:val="center"/>
                </w:tcPr>
                <w:p>
                  <w:pPr>
                    <w:adjustRightInd w:val="0"/>
                    <w:snapToGrid w:val="0"/>
                    <w:spacing w:line="320" w:lineRule="exact"/>
                    <w:jc w:val="center"/>
                    <w:rPr>
                      <w:bCs/>
                      <w:szCs w:val="21"/>
                    </w:rPr>
                  </w:pPr>
                </w:p>
              </w:tc>
              <w:tc>
                <w:tcPr>
                  <w:tcW w:w="895" w:type="dxa"/>
                  <w:vAlign w:val="center"/>
                </w:tcPr>
                <w:p>
                  <w:pPr>
                    <w:spacing w:line="320" w:lineRule="exact"/>
                    <w:jc w:val="center"/>
                    <w:rPr>
                      <w:bCs/>
                      <w:szCs w:val="21"/>
                    </w:rPr>
                  </w:pPr>
                  <w:r>
                    <w:rPr>
                      <w:szCs w:val="21"/>
                    </w:rPr>
                    <w:t>SS</w:t>
                  </w:r>
                </w:p>
              </w:tc>
              <w:tc>
                <w:tcPr>
                  <w:tcW w:w="3199" w:type="dxa"/>
                  <w:vMerge w:val="continue"/>
                  <w:vAlign w:val="center"/>
                </w:tcPr>
                <w:p>
                  <w:pPr>
                    <w:adjustRightInd w:val="0"/>
                    <w:snapToGrid w:val="0"/>
                    <w:spacing w:line="320" w:lineRule="exact"/>
                    <w:jc w:val="center"/>
                    <w:rPr>
                      <w:bCs/>
                      <w:szCs w:val="21"/>
                    </w:rPr>
                  </w:pPr>
                </w:p>
              </w:tc>
              <w:tc>
                <w:tcPr>
                  <w:tcW w:w="2312" w:type="dxa"/>
                  <w:vAlign w:val="center"/>
                </w:tcPr>
                <w:p>
                  <w:pPr>
                    <w:adjustRightInd w:val="0"/>
                    <w:snapToGrid w:val="0"/>
                    <w:spacing w:line="320" w:lineRule="exact"/>
                    <w:jc w:val="center"/>
                    <w:rPr>
                      <w:bCs/>
                      <w:szCs w:val="21"/>
                    </w:rPr>
                  </w:pPr>
                  <w:r>
                    <w:rPr>
                      <w:bCs/>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22" w:type="dxa"/>
                  <w:vAlign w:val="center"/>
                </w:tcPr>
                <w:p>
                  <w:pPr>
                    <w:adjustRightInd w:val="0"/>
                    <w:snapToGrid w:val="0"/>
                    <w:spacing w:line="320" w:lineRule="exact"/>
                    <w:jc w:val="center"/>
                    <w:rPr>
                      <w:bCs/>
                      <w:szCs w:val="21"/>
                    </w:rPr>
                  </w:pPr>
                  <w:r>
                    <w:rPr>
                      <w:bCs/>
                      <w:szCs w:val="21"/>
                    </w:rPr>
                    <w:t>3</w:t>
                  </w:r>
                </w:p>
              </w:tc>
              <w:tc>
                <w:tcPr>
                  <w:tcW w:w="1124" w:type="dxa"/>
                  <w:vMerge w:val="continue"/>
                  <w:vAlign w:val="center"/>
                </w:tcPr>
                <w:p>
                  <w:pPr>
                    <w:adjustRightInd w:val="0"/>
                    <w:snapToGrid w:val="0"/>
                    <w:spacing w:line="320" w:lineRule="exact"/>
                    <w:jc w:val="center"/>
                    <w:rPr>
                      <w:bCs/>
                      <w:szCs w:val="21"/>
                    </w:rPr>
                  </w:pPr>
                </w:p>
              </w:tc>
              <w:tc>
                <w:tcPr>
                  <w:tcW w:w="895" w:type="dxa"/>
                  <w:vAlign w:val="center"/>
                </w:tcPr>
                <w:p>
                  <w:pPr>
                    <w:spacing w:line="320" w:lineRule="exact"/>
                    <w:jc w:val="center"/>
                    <w:rPr>
                      <w:bCs/>
                      <w:szCs w:val="21"/>
                    </w:rPr>
                  </w:pPr>
                  <w:r>
                    <w:rPr>
                      <w:szCs w:val="21"/>
                    </w:rPr>
                    <w:t>NH</w:t>
                  </w:r>
                  <w:r>
                    <w:rPr>
                      <w:szCs w:val="21"/>
                      <w:vertAlign w:val="subscript"/>
                    </w:rPr>
                    <w:t>3</w:t>
                  </w:r>
                  <w:r>
                    <w:rPr>
                      <w:szCs w:val="21"/>
                    </w:rPr>
                    <w:t>-N</w:t>
                  </w:r>
                </w:p>
              </w:tc>
              <w:tc>
                <w:tcPr>
                  <w:tcW w:w="3199" w:type="dxa"/>
                  <w:vMerge w:val="continue"/>
                  <w:vAlign w:val="center"/>
                </w:tcPr>
                <w:p>
                  <w:pPr>
                    <w:adjustRightInd w:val="0"/>
                    <w:snapToGrid w:val="0"/>
                    <w:spacing w:line="320" w:lineRule="exact"/>
                    <w:jc w:val="center"/>
                    <w:rPr>
                      <w:bCs/>
                      <w:szCs w:val="21"/>
                    </w:rPr>
                  </w:pPr>
                </w:p>
              </w:tc>
              <w:tc>
                <w:tcPr>
                  <w:tcW w:w="2312" w:type="dxa"/>
                  <w:vAlign w:val="center"/>
                </w:tcPr>
                <w:p>
                  <w:pPr>
                    <w:adjustRightInd w:val="0"/>
                    <w:snapToGrid w:val="0"/>
                    <w:spacing w:line="320" w:lineRule="exact"/>
                    <w:jc w:val="center"/>
                    <w:rPr>
                      <w:bCs/>
                      <w:szCs w:val="21"/>
                    </w:rPr>
                  </w:pPr>
                  <w:r>
                    <w:rPr>
                      <w:bCs/>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22" w:type="dxa"/>
                  <w:vAlign w:val="center"/>
                </w:tcPr>
                <w:p>
                  <w:pPr>
                    <w:adjustRightInd w:val="0"/>
                    <w:snapToGrid w:val="0"/>
                    <w:spacing w:line="320" w:lineRule="exact"/>
                    <w:jc w:val="center"/>
                    <w:rPr>
                      <w:bCs/>
                      <w:szCs w:val="21"/>
                    </w:rPr>
                  </w:pPr>
                  <w:r>
                    <w:rPr>
                      <w:bCs/>
                      <w:szCs w:val="21"/>
                    </w:rPr>
                    <w:t>4</w:t>
                  </w:r>
                </w:p>
              </w:tc>
              <w:tc>
                <w:tcPr>
                  <w:tcW w:w="1124" w:type="dxa"/>
                  <w:vMerge w:val="continue"/>
                  <w:vAlign w:val="center"/>
                </w:tcPr>
                <w:p>
                  <w:pPr>
                    <w:adjustRightInd w:val="0"/>
                    <w:snapToGrid w:val="0"/>
                    <w:spacing w:line="320" w:lineRule="exact"/>
                    <w:jc w:val="center"/>
                    <w:rPr>
                      <w:bCs/>
                      <w:szCs w:val="21"/>
                    </w:rPr>
                  </w:pPr>
                </w:p>
              </w:tc>
              <w:tc>
                <w:tcPr>
                  <w:tcW w:w="895" w:type="dxa"/>
                  <w:vAlign w:val="center"/>
                </w:tcPr>
                <w:p>
                  <w:pPr>
                    <w:spacing w:line="320" w:lineRule="exact"/>
                    <w:jc w:val="center"/>
                    <w:rPr>
                      <w:bCs/>
                      <w:szCs w:val="21"/>
                    </w:rPr>
                  </w:pPr>
                  <w:r>
                    <w:rPr>
                      <w:szCs w:val="21"/>
                    </w:rPr>
                    <w:t>TP</w:t>
                  </w:r>
                </w:p>
              </w:tc>
              <w:tc>
                <w:tcPr>
                  <w:tcW w:w="3199" w:type="dxa"/>
                  <w:vMerge w:val="continue"/>
                  <w:vAlign w:val="center"/>
                </w:tcPr>
                <w:p>
                  <w:pPr>
                    <w:adjustRightInd w:val="0"/>
                    <w:snapToGrid w:val="0"/>
                    <w:spacing w:line="320" w:lineRule="exact"/>
                    <w:jc w:val="center"/>
                    <w:rPr>
                      <w:bCs/>
                      <w:szCs w:val="21"/>
                    </w:rPr>
                  </w:pPr>
                </w:p>
              </w:tc>
              <w:tc>
                <w:tcPr>
                  <w:tcW w:w="2312" w:type="dxa"/>
                  <w:vAlign w:val="center"/>
                </w:tcPr>
                <w:p>
                  <w:pPr>
                    <w:adjustRightInd w:val="0"/>
                    <w:snapToGrid w:val="0"/>
                    <w:spacing w:line="320" w:lineRule="exact"/>
                    <w:jc w:val="center"/>
                    <w:rPr>
                      <w:bCs/>
                      <w:szCs w:val="21"/>
                    </w:rPr>
                  </w:pPr>
                  <w:r>
                    <w:rPr>
                      <w:bCs/>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622" w:type="dxa"/>
                  <w:vAlign w:val="center"/>
                </w:tcPr>
                <w:p>
                  <w:pPr>
                    <w:adjustRightInd w:val="0"/>
                    <w:snapToGrid w:val="0"/>
                    <w:spacing w:line="320" w:lineRule="exact"/>
                    <w:jc w:val="center"/>
                    <w:rPr>
                      <w:bCs/>
                      <w:szCs w:val="21"/>
                    </w:rPr>
                  </w:pPr>
                  <w:r>
                    <w:rPr>
                      <w:bCs/>
                      <w:szCs w:val="21"/>
                    </w:rPr>
                    <w:t>5</w:t>
                  </w:r>
                </w:p>
              </w:tc>
              <w:tc>
                <w:tcPr>
                  <w:tcW w:w="1124" w:type="dxa"/>
                  <w:vMerge w:val="continue"/>
                  <w:vAlign w:val="center"/>
                </w:tcPr>
                <w:p>
                  <w:pPr>
                    <w:adjustRightInd w:val="0"/>
                    <w:snapToGrid w:val="0"/>
                    <w:spacing w:line="320" w:lineRule="exact"/>
                    <w:jc w:val="center"/>
                    <w:rPr>
                      <w:bCs/>
                      <w:szCs w:val="21"/>
                    </w:rPr>
                  </w:pPr>
                </w:p>
              </w:tc>
              <w:tc>
                <w:tcPr>
                  <w:tcW w:w="895" w:type="dxa"/>
                  <w:vAlign w:val="center"/>
                </w:tcPr>
                <w:p>
                  <w:pPr>
                    <w:spacing w:line="320" w:lineRule="exact"/>
                    <w:jc w:val="center"/>
                    <w:rPr>
                      <w:szCs w:val="21"/>
                    </w:rPr>
                  </w:pPr>
                  <w:r>
                    <w:rPr>
                      <w:szCs w:val="21"/>
                    </w:rPr>
                    <w:t>TN</w:t>
                  </w:r>
                </w:p>
              </w:tc>
              <w:tc>
                <w:tcPr>
                  <w:tcW w:w="3199" w:type="dxa"/>
                  <w:vMerge w:val="continue"/>
                  <w:vAlign w:val="center"/>
                </w:tcPr>
                <w:p>
                  <w:pPr>
                    <w:adjustRightInd w:val="0"/>
                    <w:snapToGrid w:val="0"/>
                    <w:spacing w:line="320" w:lineRule="exact"/>
                    <w:jc w:val="center"/>
                    <w:rPr>
                      <w:bCs/>
                      <w:szCs w:val="21"/>
                    </w:rPr>
                  </w:pPr>
                </w:p>
              </w:tc>
              <w:tc>
                <w:tcPr>
                  <w:tcW w:w="2312" w:type="dxa"/>
                  <w:vAlign w:val="center"/>
                </w:tcPr>
                <w:p>
                  <w:pPr>
                    <w:adjustRightInd w:val="0"/>
                    <w:snapToGrid w:val="0"/>
                    <w:spacing w:line="320" w:lineRule="exact"/>
                    <w:jc w:val="center"/>
                    <w:rPr>
                      <w:bCs/>
                      <w:szCs w:val="21"/>
                    </w:rPr>
                  </w:pPr>
                  <w:r>
                    <w:rPr>
                      <w:bCs/>
                      <w:szCs w:val="21"/>
                    </w:rPr>
                    <w:t>70</w:t>
                  </w:r>
                </w:p>
              </w:tc>
            </w:tr>
          </w:tbl>
          <w:p>
            <w:pPr>
              <w:adjustRightInd w:val="0"/>
              <w:snapToGrid w:val="0"/>
              <w:spacing w:line="360" w:lineRule="auto"/>
              <w:jc w:val="center"/>
              <w:rPr>
                <w:b/>
              </w:rPr>
            </w:pPr>
          </w:p>
          <w:p>
            <w:pPr>
              <w:adjustRightInd w:val="0"/>
              <w:snapToGrid w:val="0"/>
              <w:spacing w:line="360" w:lineRule="auto"/>
              <w:jc w:val="center"/>
              <w:rPr>
                <w:b/>
              </w:rPr>
            </w:pPr>
          </w:p>
          <w:p>
            <w:pPr>
              <w:adjustRightInd w:val="0"/>
              <w:snapToGrid w:val="0"/>
              <w:spacing w:line="360" w:lineRule="auto"/>
              <w:jc w:val="center"/>
              <w:rPr>
                <w:b/>
              </w:rPr>
            </w:pPr>
          </w:p>
          <w:p>
            <w:pPr>
              <w:adjustRightInd w:val="0"/>
              <w:snapToGrid w:val="0"/>
              <w:spacing w:line="360" w:lineRule="auto"/>
              <w:jc w:val="center"/>
              <w:rPr>
                <w:b/>
              </w:rPr>
            </w:pPr>
          </w:p>
          <w:p>
            <w:pPr>
              <w:adjustRightInd w:val="0"/>
              <w:snapToGrid w:val="0"/>
              <w:spacing w:line="360" w:lineRule="auto"/>
              <w:jc w:val="center"/>
              <w:rPr>
                <w:b/>
              </w:rPr>
            </w:pPr>
            <w:r>
              <w:rPr>
                <w:b/>
              </w:rPr>
              <w:t>表</w:t>
            </w:r>
            <w:r>
              <w:rPr>
                <w:rFonts w:hint="eastAsia"/>
                <w:b/>
              </w:rPr>
              <w:t>4-5</w:t>
            </w:r>
            <w:r>
              <w:rPr>
                <w:b/>
              </w:rPr>
              <w:t xml:space="preserve"> 废水污染物排放信息表</w:t>
            </w:r>
          </w:p>
          <w:tbl>
            <w:tblPr>
              <w:tblStyle w:val="21"/>
              <w:tblW w:w="815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30"/>
              <w:gridCol w:w="1292"/>
              <w:gridCol w:w="1775"/>
              <w:gridCol w:w="1532"/>
              <w:gridCol w:w="15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2" w:type="dxa"/>
                  <w:vAlign w:val="center"/>
                </w:tcPr>
                <w:p>
                  <w:pPr>
                    <w:adjustRightInd w:val="0"/>
                    <w:snapToGrid w:val="0"/>
                    <w:spacing w:line="320" w:lineRule="exact"/>
                    <w:rPr>
                      <w:b/>
                      <w:szCs w:val="21"/>
                    </w:rPr>
                  </w:pPr>
                  <w:r>
                    <w:rPr>
                      <w:b/>
                      <w:szCs w:val="21"/>
                    </w:rPr>
                    <w:t>序号</w:t>
                  </w:r>
                </w:p>
              </w:tc>
              <w:tc>
                <w:tcPr>
                  <w:tcW w:w="1330" w:type="dxa"/>
                  <w:vAlign w:val="center"/>
                </w:tcPr>
                <w:p>
                  <w:pPr>
                    <w:adjustRightInd w:val="0"/>
                    <w:snapToGrid w:val="0"/>
                    <w:spacing w:line="320" w:lineRule="exact"/>
                    <w:rPr>
                      <w:b/>
                      <w:szCs w:val="21"/>
                    </w:rPr>
                  </w:pPr>
                  <w:r>
                    <w:rPr>
                      <w:b/>
                      <w:szCs w:val="21"/>
                    </w:rPr>
                    <w:t>排放口编号</w:t>
                  </w:r>
                </w:p>
              </w:tc>
              <w:tc>
                <w:tcPr>
                  <w:tcW w:w="1292" w:type="dxa"/>
                  <w:vAlign w:val="center"/>
                </w:tcPr>
                <w:p>
                  <w:pPr>
                    <w:adjustRightInd w:val="0"/>
                    <w:snapToGrid w:val="0"/>
                    <w:spacing w:line="320" w:lineRule="exact"/>
                    <w:rPr>
                      <w:b/>
                      <w:szCs w:val="21"/>
                    </w:rPr>
                  </w:pPr>
                  <w:r>
                    <w:rPr>
                      <w:b/>
                      <w:szCs w:val="21"/>
                    </w:rPr>
                    <w:t>污染物种类</w:t>
                  </w:r>
                </w:p>
              </w:tc>
              <w:tc>
                <w:tcPr>
                  <w:tcW w:w="1775" w:type="dxa"/>
                  <w:vAlign w:val="center"/>
                </w:tcPr>
                <w:p>
                  <w:pPr>
                    <w:adjustRightInd w:val="0"/>
                    <w:snapToGrid w:val="0"/>
                    <w:spacing w:line="320" w:lineRule="exact"/>
                    <w:rPr>
                      <w:b/>
                      <w:szCs w:val="21"/>
                    </w:rPr>
                  </w:pPr>
                  <w:r>
                    <w:rPr>
                      <w:b/>
                      <w:szCs w:val="21"/>
                    </w:rPr>
                    <w:t>排放浓度（mg/L）</w:t>
                  </w:r>
                </w:p>
              </w:tc>
              <w:tc>
                <w:tcPr>
                  <w:tcW w:w="1532" w:type="dxa"/>
                  <w:vAlign w:val="center"/>
                </w:tcPr>
                <w:p>
                  <w:pPr>
                    <w:adjustRightInd w:val="0"/>
                    <w:snapToGrid w:val="0"/>
                    <w:spacing w:line="320" w:lineRule="exact"/>
                    <w:rPr>
                      <w:b/>
                      <w:szCs w:val="21"/>
                    </w:rPr>
                  </w:pPr>
                  <w:r>
                    <w:rPr>
                      <w:b/>
                      <w:szCs w:val="21"/>
                    </w:rPr>
                    <w:t>日排放量（t/d）</w:t>
                  </w:r>
                </w:p>
              </w:tc>
              <w:tc>
                <w:tcPr>
                  <w:tcW w:w="1533" w:type="dxa"/>
                  <w:vAlign w:val="center"/>
                </w:tcPr>
                <w:p>
                  <w:pPr>
                    <w:adjustRightInd w:val="0"/>
                    <w:snapToGrid w:val="0"/>
                    <w:spacing w:line="320" w:lineRule="exact"/>
                    <w:rPr>
                      <w:b/>
                      <w:szCs w:val="21"/>
                    </w:rPr>
                  </w:pPr>
                  <w:r>
                    <w:rPr>
                      <w:b/>
                      <w:szCs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92" w:type="dxa"/>
                  <w:vAlign w:val="center"/>
                </w:tcPr>
                <w:p>
                  <w:pPr>
                    <w:adjustRightInd w:val="0"/>
                    <w:snapToGrid w:val="0"/>
                    <w:spacing w:line="320" w:lineRule="exact"/>
                    <w:jc w:val="center"/>
                    <w:rPr>
                      <w:bCs/>
                      <w:szCs w:val="21"/>
                    </w:rPr>
                  </w:pPr>
                  <w:r>
                    <w:rPr>
                      <w:bCs/>
                      <w:szCs w:val="21"/>
                    </w:rPr>
                    <w:t>1</w:t>
                  </w:r>
                </w:p>
              </w:tc>
              <w:tc>
                <w:tcPr>
                  <w:tcW w:w="1330" w:type="dxa"/>
                  <w:vMerge w:val="restart"/>
                  <w:vAlign w:val="center"/>
                </w:tcPr>
                <w:p>
                  <w:pPr>
                    <w:adjustRightInd w:val="0"/>
                    <w:snapToGrid w:val="0"/>
                    <w:spacing w:line="320" w:lineRule="exact"/>
                    <w:jc w:val="center"/>
                    <w:rPr>
                      <w:rFonts w:hint="eastAsia" w:eastAsia="宋体"/>
                      <w:bCs/>
                      <w:szCs w:val="21"/>
                      <w:lang w:eastAsia="zh-CN"/>
                    </w:rPr>
                  </w:pPr>
                  <w:r>
                    <w:rPr>
                      <w:rFonts w:hint="eastAsia"/>
                      <w:bCs/>
                      <w:szCs w:val="21"/>
                      <w:lang w:eastAsia="zh-CN"/>
                    </w:rPr>
                    <w:t>DW001</w:t>
                  </w:r>
                </w:p>
              </w:tc>
              <w:tc>
                <w:tcPr>
                  <w:tcW w:w="1292" w:type="dxa"/>
                  <w:vAlign w:val="center"/>
                </w:tcPr>
                <w:p>
                  <w:pPr>
                    <w:spacing w:line="320" w:lineRule="exact"/>
                    <w:jc w:val="center"/>
                    <w:rPr>
                      <w:bCs/>
                      <w:szCs w:val="21"/>
                    </w:rPr>
                  </w:pPr>
                  <w:r>
                    <w:rPr>
                      <w:szCs w:val="21"/>
                    </w:rPr>
                    <w:t>COD</w:t>
                  </w:r>
                </w:p>
              </w:tc>
              <w:tc>
                <w:tcPr>
                  <w:tcW w:w="1775" w:type="dxa"/>
                  <w:vAlign w:val="center"/>
                </w:tcPr>
                <w:p>
                  <w:pPr>
                    <w:autoSpaceDN w:val="0"/>
                    <w:jc w:val="center"/>
                    <w:rPr>
                      <w:szCs w:val="21"/>
                    </w:rPr>
                  </w:pPr>
                  <w:r>
                    <w:rPr>
                      <w:szCs w:val="21"/>
                    </w:rPr>
                    <w:t>400</w:t>
                  </w:r>
                </w:p>
              </w:tc>
              <w:tc>
                <w:tcPr>
                  <w:tcW w:w="1532" w:type="dxa"/>
                  <w:vAlign w:val="center"/>
                </w:tcPr>
                <w:p>
                  <w:pPr>
                    <w:autoSpaceDN w:val="0"/>
                    <w:jc w:val="center"/>
                    <w:textAlignment w:val="center"/>
                    <w:rPr>
                      <w:rFonts w:hint="default" w:eastAsia="宋体"/>
                      <w:szCs w:val="21"/>
                      <w:lang w:val="en-US" w:eastAsia="zh-CN"/>
                    </w:rPr>
                  </w:pPr>
                  <w:r>
                    <w:rPr>
                      <w:rFonts w:hint="eastAsia"/>
                      <w:szCs w:val="21"/>
                      <w:lang w:val="en-US" w:eastAsia="zh-CN"/>
                    </w:rPr>
                    <w:t>0.000257</w:t>
                  </w:r>
                </w:p>
              </w:tc>
              <w:tc>
                <w:tcPr>
                  <w:tcW w:w="1533" w:type="dxa"/>
                  <w:vAlign w:val="center"/>
                </w:tcPr>
                <w:p>
                  <w:pPr>
                    <w:autoSpaceDN w:val="0"/>
                    <w:jc w:val="center"/>
                    <w:textAlignment w:val="center"/>
                    <w:rPr>
                      <w:szCs w:val="21"/>
                    </w:rPr>
                  </w:pPr>
                  <w:r>
                    <w:rPr>
                      <w:rFonts w:hint="eastAsia"/>
                      <w:szCs w:val="21"/>
                      <w:lang w:val="en-US" w:eastAsia="zh-CN"/>
                    </w:rPr>
                    <w:t>0.077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92" w:type="dxa"/>
                  <w:vAlign w:val="center"/>
                </w:tcPr>
                <w:p>
                  <w:pPr>
                    <w:adjustRightInd w:val="0"/>
                    <w:snapToGrid w:val="0"/>
                    <w:spacing w:line="320" w:lineRule="exact"/>
                    <w:jc w:val="center"/>
                    <w:rPr>
                      <w:bCs/>
                      <w:szCs w:val="21"/>
                    </w:rPr>
                  </w:pPr>
                  <w:r>
                    <w:rPr>
                      <w:bCs/>
                      <w:szCs w:val="21"/>
                    </w:rPr>
                    <w:t>2</w:t>
                  </w:r>
                </w:p>
              </w:tc>
              <w:tc>
                <w:tcPr>
                  <w:tcW w:w="1330" w:type="dxa"/>
                  <w:vMerge w:val="continue"/>
                  <w:vAlign w:val="center"/>
                </w:tcPr>
                <w:p>
                  <w:pPr>
                    <w:adjustRightInd w:val="0"/>
                    <w:snapToGrid w:val="0"/>
                    <w:spacing w:line="320" w:lineRule="exact"/>
                    <w:jc w:val="center"/>
                    <w:rPr>
                      <w:bCs/>
                      <w:szCs w:val="21"/>
                    </w:rPr>
                  </w:pPr>
                </w:p>
              </w:tc>
              <w:tc>
                <w:tcPr>
                  <w:tcW w:w="1292" w:type="dxa"/>
                  <w:vAlign w:val="center"/>
                </w:tcPr>
                <w:p>
                  <w:pPr>
                    <w:spacing w:line="320" w:lineRule="exact"/>
                    <w:jc w:val="center"/>
                    <w:rPr>
                      <w:bCs/>
                      <w:szCs w:val="21"/>
                    </w:rPr>
                  </w:pPr>
                  <w:r>
                    <w:rPr>
                      <w:szCs w:val="21"/>
                    </w:rPr>
                    <w:t>SS</w:t>
                  </w:r>
                </w:p>
              </w:tc>
              <w:tc>
                <w:tcPr>
                  <w:tcW w:w="1775" w:type="dxa"/>
                  <w:vAlign w:val="center"/>
                </w:tcPr>
                <w:p>
                  <w:pPr>
                    <w:autoSpaceDN w:val="0"/>
                    <w:jc w:val="center"/>
                    <w:rPr>
                      <w:szCs w:val="21"/>
                    </w:rPr>
                  </w:pPr>
                  <w:r>
                    <w:rPr>
                      <w:szCs w:val="21"/>
                    </w:rPr>
                    <w:t>300</w:t>
                  </w:r>
                </w:p>
              </w:tc>
              <w:tc>
                <w:tcPr>
                  <w:tcW w:w="1532" w:type="dxa"/>
                  <w:vAlign w:val="center"/>
                </w:tcPr>
                <w:p>
                  <w:pPr>
                    <w:autoSpaceDN w:val="0"/>
                    <w:jc w:val="center"/>
                    <w:textAlignment w:val="center"/>
                    <w:rPr>
                      <w:rFonts w:hint="default" w:eastAsia="宋体"/>
                      <w:szCs w:val="21"/>
                      <w:lang w:val="en-US" w:eastAsia="zh-CN"/>
                    </w:rPr>
                  </w:pPr>
                  <w:r>
                    <w:rPr>
                      <w:rFonts w:hint="eastAsia"/>
                      <w:szCs w:val="21"/>
                      <w:lang w:val="en-US" w:eastAsia="zh-CN"/>
                    </w:rPr>
                    <w:t>0.000193</w:t>
                  </w:r>
                </w:p>
              </w:tc>
              <w:tc>
                <w:tcPr>
                  <w:tcW w:w="1533" w:type="dxa"/>
                  <w:vAlign w:val="center"/>
                </w:tcPr>
                <w:p>
                  <w:pPr>
                    <w:autoSpaceDN w:val="0"/>
                    <w:jc w:val="center"/>
                    <w:textAlignment w:val="center"/>
                    <w:rPr>
                      <w:szCs w:val="21"/>
                    </w:rPr>
                  </w:pPr>
                  <w:r>
                    <w:rPr>
                      <w:rFonts w:hint="eastAsia"/>
                      <w:szCs w:val="21"/>
                      <w:lang w:val="en-US" w:eastAsia="zh-CN"/>
                    </w:rPr>
                    <w:t>0.058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92" w:type="dxa"/>
                  <w:vAlign w:val="center"/>
                </w:tcPr>
                <w:p>
                  <w:pPr>
                    <w:adjustRightInd w:val="0"/>
                    <w:snapToGrid w:val="0"/>
                    <w:spacing w:line="320" w:lineRule="exact"/>
                    <w:jc w:val="center"/>
                    <w:rPr>
                      <w:bCs/>
                      <w:szCs w:val="21"/>
                    </w:rPr>
                  </w:pPr>
                  <w:r>
                    <w:rPr>
                      <w:bCs/>
                      <w:szCs w:val="21"/>
                    </w:rPr>
                    <w:t>3</w:t>
                  </w:r>
                </w:p>
              </w:tc>
              <w:tc>
                <w:tcPr>
                  <w:tcW w:w="1330" w:type="dxa"/>
                  <w:vMerge w:val="continue"/>
                  <w:vAlign w:val="center"/>
                </w:tcPr>
                <w:p>
                  <w:pPr>
                    <w:adjustRightInd w:val="0"/>
                    <w:snapToGrid w:val="0"/>
                    <w:spacing w:line="320" w:lineRule="exact"/>
                    <w:jc w:val="center"/>
                    <w:rPr>
                      <w:bCs/>
                      <w:szCs w:val="21"/>
                    </w:rPr>
                  </w:pPr>
                </w:p>
              </w:tc>
              <w:tc>
                <w:tcPr>
                  <w:tcW w:w="1292" w:type="dxa"/>
                  <w:vAlign w:val="center"/>
                </w:tcPr>
                <w:p>
                  <w:pPr>
                    <w:spacing w:line="320" w:lineRule="exact"/>
                    <w:jc w:val="center"/>
                    <w:rPr>
                      <w:bCs/>
                      <w:szCs w:val="21"/>
                    </w:rPr>
                  </w:pPr>
                  <w:r>
                    <w:rPr>
                      <w:szCs w:val="21"/>
                    </w:rPr>
                    <w:t>NH</w:t>
                  </w:r>
                  <w:r>
                    <w:rPr>
                      <w:szCs w:val="21"/>
                      <w:vertAlign w:val="subscript"/>
                    </w:rPr>
                    <w:t>3</w:t>
                  </w:r>
                  <w:r>
                    <w:rPr>
                      <w:szCs w:val="21"/>
                    </w:rPr>
                    <w:t>-N</w:t>
                  </w:r>
                </w:p>
              </w:tc>
              <w:tc>
                <w:tcPr>
                  <w:tcW w:w="1775" w:type="dxa"/>
                  <w:vAlign w:val="center"/>
                </w:tcPr>
                <w:p>
                  <w:pPr>
                    <w:autoSpaceDN w:val="0"/>
                    <w:jc w:val="center"/>
                    <w:rPr>
                      <w:szCs w:val="21"/>
                    </w:rPr>
                  </w:pPr>
                  <w:r>
                    <w:rPr>
                      <w:rFonts w:hint="eastAsia"/>
                      <w:szCs w:val="21"/>
                      <w:lang w:val="en-US" w:eastAsia="zh-CN"/>
                    </w:rPr>
                    <w:t>35</w:t>
                  </w:r>
                </w:p>
              </w:tc>
              <w:tc>
                <w:tcPr>
                  <w:tcW w:w="1532" w:type="dxa"/>
                  <w:vAlign w:val="center"/>
                </w:tcPr>
                <w:p>
                  <w:pPr>
                    <w:autoSpaceDN w:val="0"/>
                    <w:jc w:val="center"/>
                    <w:textAlignment w:val="center"/>
                    <w:rPr>
                      <w:rFonts w:hint="default" w:eastAsia="宋体"/>
                      <w:szCs w:val="21"/>
                      <w:lang w:val="en-US" w:eastAsia="zh-CN"/>
                    </w:rPr>
                  </w:pPr>
                  <w:r>
                    <w:rPr>
                      <w:rFonts w:hint="eastAsia"/>
                      <w:szCs w:val="21"/>
                      <w:lang w:val="en-US" w:eastAsia="zh-CN"/>
                    </w:rPr>
                    <w:t>0.000223</w:t>
                  </w:r>
                </w:p>
              </w:tc>
              <w:tc>
                <w:tcPr>
                  <w:tcW w:w="1533" w:type="dxa"/>
                  <w:vAlign w:val="center"/>
                </w:tcPr>
                <w:p>
                  <w:pPr>
                    <w:autoSpaceDN w:val="0"/>
                    <w:jc w:val="center"/>
                    <w:textAlignment w:val="center"/>
                    <w:rPr>
                      <w:szCs w:val="21"/>
                    </w:rPr>
                  </w:pPr>
                  <w:r>
                    <w:rPr>
                      <w:rFonts w:hint="eastAsia"/>
                      <w:szCs w:val="21"/>
                      <w:lang w:val="en-US" w:eastAsia="zh-CN"/>
                    </w:rPr>
                    <w:t>0.0067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92" w:type="dxa"/>
                  <w:vAlign w:val="center"/>
                </w:tcPr>
                <w:p>
                  <w:pPr>
                    <w:adjustRightInd w:val="0"/>
                    <w:snapToGrid w:val="0"/>
                    <w:spacing w:line="320" w:lineRule="exact"/>
                    <w:jc w:val="center"/>
                    <w:rPr>
                      <w:bCs/>
                      <w:szCs w:val="21"/>
                    </w:rPr>
                  </w:pPr>
                  <w:r>
                    <w:rPr>
                      <w:bCs/>
                      <w:szCs w:val="21"/>
                    </w:rPr>
                    <w:t>4</w:t>
                  </w:r>
                </w:p>
              </w:tc>
              <w:tc>
                <w:tcPr>
                  <w:tcW w:w="1330" w:type="dxa"/>
                  <w:vMerge w:val="continue"/>
                  <w:vAlign w:val="center"/>
                </w:tcPr>
                <w:p>
                  <w:pPr>
                    <w:adjustRightInd w:val="0"/>
                    <w:snapToGrid w:val="0"/>
                    <w:spacing w:line="320" w:lineRule="exact"/>
                    <w:jc w:val="center"/>
                    <w:rPr>
                      <w:bCs/>
                      <w:szCs w:val="21"/>
                    </w:rPr>
                  </w:pPr>
                </w:p>
              </w:tc>
              <w:tc>
                <w:tcPr>
                  <w:tcW w:w="1292" w:type="dxa"/>
                  <w:vAlign w:val="center"/>
                </w:tcPr>
                <w:p>
                  <w:pPr>
                    <w:spacing w:line="320" w:lineRule="exact"/>
                    <w:jc w:val="center"/>
                    <w:rPr>
                      <w:bCs/>
                      <w:szCs w:val="21"/>
                    </w:rPr>
                  </w:pPr>
                  <w:r>
                    <w:rPr>
                      <w:szCs w:val="21"/>
                    </w:rPr>
                    <w:t>TP</w:t>
                  </w:r>
                </w:p>
              </w:tc>
              <w:tc>
                <w:tcPr>
                  <w:tcW w:w="1775" w:type="dxa"/>
                  <w:vAlign w:val="center"/>
                </w:tcPr>
                <w:p>
                  <w:pPr>
                    <w:autoSpaceDN w:val="0"/>
                    <w:jc w:val="center"/>
                    <w:rPr>
                      <w:szCs w:val="21"/>
                    </w:rPr>
                  </w:pPr>
                  <w:r>
                    <w:rPr>
                      <w:szCs w:val="21"/>
                    </w:rPr>
                    <w:t>5</w:t>
                  </w:r>
                </w:p>
              </w:tc>
              <w:tc>
                <w:tcPr>
                  <w:tcW w:w="1532" w:type="dxa"/>
                  <w:vAlign w:val="center"/>
                </w:tcPr>
                <w:p>
                  <w:pPr>
                    <w:autoSpaceDN w:val="0"/>
                    <w:jc w:val="center"/>
                    <w:textAlignment w:val="center"/>
                    <w:rPr>
                      <w:rFonts w:hint="default" w:eastAsia="宋体"/>
                      <w:szCs w:val="21"/>
                      <w:lang w:val="en-US" w:eastAsia="zh-CN"/>
                    </w:rPr>
                  </w:pPr>
                  <w:r>
                    <w:rPr>
                      <w:rFonts w:hint="eastAsia"/>
                      <w:szCs w:val="21"/>
                      <w:lang w:val="en-US" w:eastAsia="zh-CN"/>
                    </w:rPr>
                    <w:t>0.000032</w:t>
                  </w:r>
                </w:p>
              </w:tc>
              <w:tc>
                <w:tcPr>
                  <w:tcW w:w="1533" w:type="dxa"/>
                  <w:vAlign w:val="center"/>
                </w:tcPr>
                <w:p>
                  <w:pPr>
                    <w:autoSpaceDN w:val="0"/>
                    <w:jc w:val="center"/>
                    <w:textAlignment w:val="center"/>
                    <w:rPr>
                      <w:szCs w:val="21"/>
                    </w:rPr>
                  </w:pPr>
                  <w:r>
                    <w:rPr>
                      <w:rFonts w:hint="eastAsia"/>
                      <w:szCs w:val="21"/>
                      <w:lang w:val="en-US" w:eastAsia="zh-CN"/>
                    </w:rPr>
                    <w:t>0.0096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92" w:type="dxa"/>
                  <w:vAlign w:val="center"/>
                </w:tcPr>
                <w:p>
                  <w:pPr>
                    <w:adjustRightInd w:val="0"/>
                    <w:snapToGrid w:val="0"/>
                    <w:spacing w:line="320" w:lineRule="exact"/>
                    <w:jc w:val="center"/>
                    <w:rPr>
                      <w:bCs/>
                      <w:szCs w:val="21"/>
                    </w:rPr>
                  </w:pPr>
                  <w:r>
                    <w:rPr>
                      <w:bCs/>
                      <w:szCs w:val="21"/>
                    </w:rPr>
                    <w:t>5</w:t>
                  </w:r>
                </w:p>
              </w:tc>
              <w:tc>
                <w:tcPr>
                  <w:tcW w:w="1330" w:type="dxa"/>
                  <w:vMerge w:val="continue"/>
                  <w:vAlign w:val="center"/>
                </w:tcPr>
                <w:p>
                  <w:pPr>
                    <w:adjustRightInd w:val="0"/>
                    <w:snapToGrid w:val="0"/>
                    <w:spacing w:line="320" w:lineRule="exact"/>
                    <w:jc w:val="center"/>
                    <w:rPr>
                      <w:bCs/>
                      <w:szCs w:val="21"/>
                    </w:rPr>
                  </w:pPr>
                </w:p>
              </w:tc>
              <w:tc>
                <w:tcPr>
                  <w:tcW w:w="1292" w:type="dxa"/>
                  <w:vAlign w:val="center"/>
                </w:tcPr>
                <w:p>
                  <w:pPr>
                    <w:spacing w:line="320" w:lineRule="exact"/>
                    <w:jc w:val="center"/>
                    <w:rPr>
                      <w:szCs w:val="21"/>
                    </w:rPr>
                  </w:pPr>
                  <w:r>
                    <w:rPr>
                      <w:szCs w:val="21"/>
                    </w:rPr>
                    <w:t>TN</w:t>
                  </w:r>
                </w:p>
              </w:tc>
              <w:tc>
                <w:tcPr>
                  <w:tcW w:w="1775" w:type="dxa"/>
                  <w:vAlign w:val="center"/>
                </w:tcPr>
                <w:p>
                  <w:pPr>
                    <w:autoSpaceDN w:val="0"/>
                    <w:jc w:val="center"/>
                    <w:rPr>
                      <w:kern w:val="0"/>
                      <w:szCs w:val="21"/>
                      <w:lang w:bidi="ar"/>
                    </w:rPr>
                  </w:pPr>
                  <w:r>
                    <w:rPr>
                      <w:rFonts w:hint="eastAsia"/>
                      <w:szCs w:val="21"/>
                    </w:rPr>
                    <w:t>60</w:t>
                  </w:r>
                </w:p>
              </w:tc>
              <w:tc>
                <w:tcPr>
                  <w:tcW w:w="1532" w:type="dxa"/>
                  <w:vAlign w:val="center"/>
                </w:tcPr>
                <w:p>
                  <w:pPr>
                    <w:autoSpaceDN w:val="0"/>
                    <w:jc w:val="center"/>
                    <w:textAlignment w:val="center"/>
                    <w:rPr>
                      <w:rFonts w:hint="default" w:eastAsia="宋体"/>
                      <w:szCs w:val="21"/>
                      <w:lang w:val="en-US" w:eastAsia="zh-CN"/>
                    </w:rPr>
                  </w:pPr>
                  <w:r>
                    <w:rPr>
                      <w:rFonts w:hint="eastAsia"/>
                      <w:szCs w:val="21"/>
                      <w:lang w:val="en-US" w:eastAsia="zh-CN"/>
                    </w:rPr>
                    <w:t>0.000038</w:t>
                  </w:r>
                </w:p>
              </w:tc>
              <w:tc>
                <w:tcPr>
                  <w:tcW w:w="1533" w:type="dxa"/>
                  <w:vAlign w:val="center"/>
                </w:tcPr>
                <w:p>
                  <w:pPr>
                    <w:autoSpaceDN w:val="0"/>
                    <w:jc w:val="center"/>
                    <w:textAlignment w:val="center"/>
                    <w:rPr>
                      <w:szCs w:val="21"/>
                    </w:rPr>
                  </w:pPr>
                  <w:r>
                    <w:rPr>
                      <w:rFonts w:hint="eastAsia"/>
                      <w:szCs w:val="21"/>
                      <w:lang w:val="en-US" w:eastAsia="zh-CN"/>
                    </w:rPr>
                    <w:t>0.0115</w:t>
                  </w:r>
                </w:p>
              </w:tc>
            </w:tr>
          </w:tbl>
          <w:p>
            <w:pPr>
              <w:pStyle w:val="27"/>
              <w:snapToGrid/>
              <w:spacing w:line="360" w:lineRule="auto"/>
              <w:ind w:firstLine="422" w:firstLineChars="200"/>
              <w:jc w:val="left"/>
              <w:rPr>
                <w:rFonts w:cs="Times New Roman"/>
                <w:b/>
                <w:bCs/>
                <w:szCs w:val="21"/>
              </w:rPr>
            </w:pPr>
            <w:r>
              <w:rPr>
                <w:rFonts w:hint="eastAsia" w:cs="Times New Roman"/>
                <w:b/>
                <w:bCs/>
                <w:szCs w:val="21"/>
                <w:lang w:val="en-US" w:eastAsia="zh-CN"/>
              </w:rPr>
              <w:t>3</w:t>
            </w:r>
            <w:r>
              <w:rPr>
                <w:rFonts w:hint="eastAsia" w:cs="Times New Roman"/>
                <w:b/>
                <w:bCs/>
                <w:szCs w:val="21"/>
              </w:rPr>
              <w:t>、废水接管可行性分析</w:t>
            </w:r>
          </w:p>
          <w:p>
            <w:pPr>
              <w:pStyle w:val="27"/>
              <w:snapToGrid/>
              <w:spacing w:line="360" w:lineRule="auto"/>
              <w:ind w:firstLine="420" w:firstLineChars="200"/>
              <w:jc w:val="left"/>
              <w:rPr>
                <w:rFonts w:cs="Times New Roman"/>
                <w:szCs w:val="21"/>
              </w:rPr>
            </w:pPr>
            <w:r>
              <w:rPr>
                <w:rFonts w:hint="eastAsia" w:cs="Times New Roman"/>
                <w:szCs w:val="21"/>
              </w:rPr>
              <w:t>（1）污水处理厂概况</w:t>
            </w:r>
          </w:p>
          <w:p>
            <w:pPr>
              <w:pStyle w:val="27"/>
              <w:snapToGrid/>
              <w:spacing w:line="360" w:lineRule="auto"/>
              <w:ind w:firstLine="420" w:firstLineChars="200"/>
              <w:jc w:val="left"/>
              <w:rPr>
                <w:rFonts w:hint="eastAsia" w:cs="Times New Roman"/>
                <w:szCs w:val="21"/>
                <w:lang w:eastAsia="zh-CN"/>
              </w:rPr>
            </w:pPr>
            <w:r>
              <w:rPr>
                <w:rFonts w:hint="eastAsia" w:cs="Times New Roman"/>
                <w:szCs w:val="21"/>
                <w:lang w:eastAsia="zh-CN"/>
              </w:rPr>
              <w:t>武南污水处理厂位于高新区外夏城路东侧，根据《武南污水处理近期工程（4万m</w:t>
            </w:r>
            <w:r>
              <w:rPr>
                <w:rFonts w:hint="eastAsia" w:cs="Times New Roman"/>
                <w:szCs w:val="21"/>
                <w:vertAlign w:val="superscript"/>
                <w:lang w:eastAsia="zh-CN"/>
              </w:rPr>
              <w:t>3</w:t>
            </w:r>
            <w:r>
              <w:rPr>
                <w:rFonts w:hint="eastAsia" w:cs="Times New Roman"/>
                <w:szCs w:val="21"/>
                <w:lang w:eastAsia="zh-CN"/>
              </w:rPr>
              <w:t>/d）</w:t>
            </w:r>
          </w:p>
          <w:p>
            <w:pPr>
              <w:pStyle w:val="27"/>
              <w:snapToGrid/>
              <w:spacing w:line="360" w:lineRule="auto"/>
              <w:jc w:val="left"/>
              <w:rPr>
                <w:rFonts w:cs="Times New Roman"/>
                <w:szCs w:val="21"/>
              </w:rPr>
            </w:pPr>
            <w:r>
              <w:rPr>
                <w:rFonts w:hint="eastAsia" w:cs="Times New Roman"/>
                <w:szCs w:val="21"/>
                <w:lang w:eastAsia="zh-CN"/>
              </w:rPr>
              <w:t>环境影响报告书》，该污水处理厂收集武南运河以南、南塘路以北，湖滨大道以东、青洋路以西地区的污水。武南污水处理厂4万m</w:t>
            </w:r>
            <w:r>
              <w:rPr>
                <w:rFonts w:hint="eastAsia" w:cs="Times New Roman"/>
                <w:szCs w:val="21"/>
                <w:vertAlign w:val="superscript"/>
                <w:lang w:eastAsia="zh-CN"/>
              </w:rPr>
              <w:t>3</w:t>
            </w:r>
            <w:r>
              <w:rPr>
                <w:rFonts w:hint="eastAsia" w:cs="Times New Roman"/>
                <w:szCs w:val="21"/>
                <w:lang w:eastAsia="zh-CN"/>
              </w:rPr>
              <w:t>/d规模已于2009年5月19日建成并投入试运行，2011年正式投入运行，实际处理水量约3.2万m</w:t>
            </w:r>
            <w:r>
              <w:rPr>
                <w:rFonts w:hint="eastAsia" w:cs="Times New Roman"/>
                <w:szCs w:val="21"/>
                <w:vertAlign w:val="superscript"/>
                <w:lang w:eastAsia="zh-CN"/>
              </w:rPr>
              <w:t>3</w:t>
            </w:r>
            <w:r>
              <w:rPr>
                <w:rFonts w:hint="eastAsia" w:cs="Times New Roman"/>
                <w:szCs w:val="21"/>
                <w:lang w:eastAsia="zh-CN"/>
              </w:rPr>
              <w:t>/d。武南污水处理厂于2012年12月7日取得《武南污水处理厂扩建及改造工程（扩建6万m</w:t>
            </w:r>
            <w:r>
              <w:rPr>
                <w:rFonts w:hint="eastAsia" w:cs="Times New Roman"/>
                <w:szCs w:val="21"/>
                <w:vertAlign w:val="superscript"/>
                <w:lang w:eastAsia="zh-CN"/>
              </w:rPr>
              <w:t>3</w:t>
            </w:r>
            <w:r>
              <w:rPr>
                <w:rFonts w:hint="eastAsia" w:cs="Times New Roman"/>
                <w:szCs w:val="21"/>
                <w:lang w:eastAsia="zh-CN"/>
              </w:rPr>
              <w:t>/d，改造10万m</w:t>
            </w:r>
            <w:r>
              <w:rPr>
                <w:rFonts w:hint="eastAsia" w:cs="Times New Roman"/>
                <w:szCs w:val="21"/>
                <w:vertAlign w:val="superscript"/>
                <w:lang w:eastAsia="zh-CN"/>
              </w:rPr>
              <w:t>3</w:t>
            </w:r>
            <w:r>
              <w:rPr>
                <w:rFonts w:hint="eastAsia" w:cs="Times New Roman"/>
                <w:szCs w:val="21"/>
                <w:lang w:eastAsia="zh-CN"/>
              </w:rPr>
              <w:t>/d）环境影响报告书》批复，扩建后处理规模为10万m</w:t>
            </w:r>
            <w:r>
              <w:rPr>
                <w:rFonts w:hint="eastAsia" w:cs="Times New Roman"/>
                <w:szCs w:val="21"/>
                <w:vertAlign w:val="superscript"/>
                <w:lang w:eastAsia="zh-CN"/>
              </w:rPr>
              <w:t>3</w:t>
            </w:r>
            <w:r>
              <w:rPr>
                <w:rFonts w:hint="eastAsia" w:cs="Times New Roman"/>
                <w:szCs w:val="21"/>
                <w:lang w:eastAsia="zh-CN"/>
              </w:rPr>
              <w:t>/d，控制用地20.0ha，远期武南污水处理厂尾水回用，尾水回用比例达50%。尾水中各类污染因子均达到《太湖地区城镇污水处理厂及重点工业行业主要水污染物排放限值》（DB32/1072-2007）及《城镇污水处理厂污染物排放标准》（GB18918-2002）中一级A标准的排放要求。</w:t>
            </w:r>
            <w:r>
              <w:rPr>
                <w:rFonts w:hint="eastAsia" w:cs="Times New Roman"/>
                <w:szCs w:val="21"/>
              </w:rPr>
              <w:t>污水处理厂工艺流程见图4-1。</w:t>
            </w:r>
          </w:p>
          <w:p>
            <w:pPr>
              <w:pStyle w:val="27"/>
              <w:snapToGrid/>
              <w:spacing w:line="360" w:lineRule="auto"/>
              <w:jc w:val="left"/>
              <w:rPr>
                <w:rFonts w:cs="Times New Roman"/>
                <w:szCs w:val="21"/>
              </w:rPr>
            </w:pPr>
            <w:r>
              <w:drawing>
                <wp:inline distT="0" distB="0" distL="114300" distR="114300">
                  <wp:extent cx="5170170" cy="2341245"/>
                  <wp:effectExtent l="0" t="0" r="11430" b="190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2"/>
                          <a:stretch>
                            <a:fillRect/>
                          </a:stretch>
                        </pic:blipFill>
                        <pic:spPr>
                          <a:xfrm>
                            <a:off x="0" y="0"/>
                            <a:ext cx="5170170" cy="2341245"/>
                          </a:xfrm>
                          <a:prstGeom prst="rect">
                            <a:avLst/>
                          </a:prstGeom>
                          <a:noFill/>
                          <a:ln>
                            <a:noFill/>
                          </a:ln>
                        </pic:spPr>
                      </pic:pic>
                    </a:graphicData>
                  </a:graphic>
                </wp:inline>
              </w:drawing>
            </w:r>
          </w:p>
          <w:p>
            <w:pPr>
              <w:pStyle w:val="27"/>
              <w:snapToGrid/>
              <w:spacing w:line="360" w:lineRule="auto"/>
              <w:jc w:val="center"/>
              <w:rPr>
                <w:rFonts w:cs="Times New Roman"/>
                <w:b/>
                <w:bCs/>
                <w:szCs w:val="21"/>
              </w:rPr>
            </w:pPr>
            <w:r>
              <w:rPr>
                <w:rFonts w:hint="eastAsia" w:cs="Times New Roman"/>
                <w:b/>
                <w:bCs/>
                <w:szCs w:val="21"/>
              </w:rPr>
              <w:t xml:space="preserve">图4-1 </w:t>
            </w:r>
            <w:r>
              <w:rPr>
                <w:rFonts w:hint="eastAsia" w:cs="Times New Roman"/>
                <w:b/>
                <w:bCs/>
                <w:szCs w:val="21"/>
                <w:lang w:val="en-US" w:eastAsia="zh-CN"/>
              </w:rPr>
              <w:t>武南</w:t>
            </w:r>
            <w:r>
              <w:rPr>
                <w:rFonts w:hint="eastAsia" w:cs="Times New Roman"/>
                <w:b/>
                <w:bCs/>
                <w:szCs w:val="21"/>
              </w:rPr>
              <w:t>污水处理厂污水处理工艺流程图</w:t>
            </w:r>
          </w:p>
          <w:p>
            <w:pPr>
              <w:pStyle w:val="27"/>
              <w:snapToGrid/>
              <w:spacing w:line="360" w:lineRule="auto"/>
              <w:ind w:firstLine="420" w:firstLineChars="200"/>
              <w:jc w:val="left"/>
              <w:rPr>
                <w:rFonts w:cs="Times New Roman"/>
                <w:szCs w:val="21"/>
              </w:rPr>
            </w:pPr>
            <w:r>
              <w:rPr>
                <w:rFonts w:hint="eastAsia" w:cs="Times New Roman"/>
                <w:szCs w:val="21"/>
              </w:rPr>
              <w:t>（2）接管可行性分析</w:t>
            </w:r>
          </w:p>
          <w:p>
            <w:pPr>
              <w:pStyle w:val="27"/>
              <w:snapToGrid/>
              <w:spacing w:line="360" w:lineRule="auto"/>
              <w:ind w:firstLine="420" w:firstLineChars="200"/>
              <w:jc w:val="left"/>
              <w:rPr>
                <w:rFonts w:cs="Times New Roman"/>
                <w:szCs w:val="21"/>
              </w:rPr>
            </w:pPr>
            <w:r>
              <w:rPr>
                <w:rFonts w:hint="eastAsia" w:cs="Times New Roman"/>
                <w:szCs w:val="21"/>
              </w:rPr>
              <w:t>水量：武南污水处理厂目前实际日处理污水量达</w:t>
            </w:r>
            <w:r>
              <w:rPr>
                <w:rFonts w:hint="eastAsia" w:cs="Times New Roman"/>
                <w:szCs w:val="21"/>
                <w:lang w:val="en-US" w:eastAsia="zh-CN"/>
              </w:rPr>
              <w:t>8</w:t>
            </w:r>
            <w:r>
              <w:rPr>
                <w:rFonts w:hint="eastAsia" w:cs="Times New Roman"/>
                <w:szCs w:val="21"/>
              </w:rPr>
              <w:t>万m</w:t>
            </w:r>
            <w:r>
              <w:rPr>
                <w:rFonts w:hint="eastAsia" w:cs="Times New Roman"/>
                <w:szCs w:val="21"/>
                <w:vertAlign w:val="superscript"/>
              </w:rPr>
              <w:t>3</w:t>
            </w:r>
            <w:r>
              <w:rPr>
                <w:rFonts w:hint="eastAsia" w:cs="Times New Roman"/>
                <w:szCs w:val="21"/>
              </w:rPr>
              <w:t>/d，剩余能力</w:t>
            </w:r>
            <w:r>
              <w:rPr>
                <w:rFonts w:hint="eastAsia" w:cs="Times New Roman"/>
                <w:szCs w:val="21"/>
                <w:lang w:val="en-US" w:eastAsia="zh-CN"/>
              </w:rPr>
              <w:t>2</w:t>
            </w:r>
            <w:r>
              <w:rPr>
                <w:rFonts w:hint="eastAsia" w:cs="Times New Roman"/>
                <w:szCs w:val="21"/>
              </w:rPr>
              <w:t>万m</w:t>
            </w:r>
            <w:r>
              <w:rPr>
                <w:rFonts w:hint="eastAsia" w:cs="Times New Roman"/>
                <w:szCs w:val="21"/>
                <w:vertAlign w:val="superscript"/>
              </w:rPr>
              <w:t>3</w:t>
            </w:r>
            <w:r>
              <w:rPr>
                <w:rFonts w:hint="eastAsia" w:cs="Times New Roman"/>
                <w:szCs w:val="21"/>
              </w:rPr>
              <w:t>/d。本项目产生生活污水</w:t>
            </w:r>
            <w:r>
              <w:rPr>
                <w:rFonts w:hint="eastAsia" w:cs="Times New Roman"/>
                <w:szCs w:val="21"/>
                <w:lang w:val="en-US" w:eastAsia="zh-CN"/>
              </w:rPr>
              <w:t>192</w:t>
            </w:r>
            <w:r>
              <w:rPr>
                <w:rFonts w:hint="eastAsia" w:cs="Times New Roman"/>
                <w:szCs w:val="21"/>
              </w:rPr>
              <w:t>吨/年（约</w:t>
            </w:r>
            <w:r>
              <w:rPr>
                <w:rFonts w:hint="eastAsia" w:cs="Times New Roman"/>
                <w:szCs w:val="21"/>
                <w:lang w:val="en-US" w:eastAsia="zh-CN"/>
              </w:rPr>
              <w:t>0.64</w:t>
            </w:r>
            <w:r>
              <w:rPr>
                <w:rFonts w:hint="eastAsia" w:cs="Times New Roman"/>
                <w:szCs w:val="21"/>
              </w:rPr>
              <w:t>m</w:t>
            </w:r>
            <w:r>
              <w:rPr>
                <w:rFonts w:hint="eastAsia" w:cs="Times New Roman"/>
                <w:szCs w:val="21"/>
                <w:vertAlign w:val="superscript"/>
              </w:rPr>
              <w:t>3</w:t>
            </w:r>
            <w:r>
              <w:rPr>
                <w:rFonts w:hint="eastAsia" w:cs="Times New Roman"/>
                <w:szCs w:val="21"/>
              </w:rPr>
              <w:t>/d），占污水处理厂剩余处理规模的</w:t>
            </w:r>
            <w:r>
              <w:rPr>
                <w:rFonts w:hint="eastAsia" w:cs="Times New Roman"/>
                <w:szCs w:val="21"/>
                <w:lang w:val="en-US" w:eastAsia="zh-CN"/>
              </w:rPr>
              <w:t>0.0032</w:t>
            </w:r>
            <w:r>
              <w:rPr>
                <w:rFonts w:hint="eastAsia" w:cs="Times New Roman"/>
                <w:szCs w:val="21"/>
              </w:rPr>
              <w:t>%，因此，本项目废水接入武南污水处理厂从水量接管能力分析是可行的。</w:t>
            </w:r>
          </w:p>
          <w:p>
            <w:pPr>
              <w:pStyle w:val="27"/>
              <w:snapToGrid/>
              <w:spacing w:line="360" w:lineRule="auto"/>
              <w:ind w:firstLine="420" w:firstLineChars="200"/>
              <w:jc w:val="left"/>
              <w:rPr>
                <w:rFonts w:cs="Times New Roman"/>
                <w:szCs w:val="21"/>
              </w:rPr>
            </w:pPr>
            <w:r>
              <w:rPr>
                <w:rFonts w:hint="eastAsia" w:cs="Times New Roman"/>
                <w:szCs w:val="21"/>
              </w:rPr>
              <w:t>水质：本项目建成后接管废水为生活污水，主要污染物pH、COD、SS、NH</w:t>
            </w:r>
            <w:r>
              <w:rPr>
                <w:rFonts w:hint="eastAsia" w:cs="Times New Roman"/>
                <w:szCs w:val="21"/>
                <w:vertAlign w:val="subscript"/>
              </w:rPr>
              <w:t>3</w:t>
            </w:r>
            <w:r>
              <w:rPr>
                <w:rFonts w:hint="eastAsia" w:cs="Times New Roman"/>
                <w:szCs w:val="21"/>
              </w:rPr>
              <w:t>-N、TP、TN浓度均满足《污水排入城镇下水道水质标准》（GB/T31962-2015）表1中B级标准，废水排放浓度低、水量小、水质简单，不会对武南污水处理厂运行产生冲击负荷，不影响武南污水处理厂出水水质，经济上比较合理，有利于污染物的集中控制，因此项目废水排入武南污水处理厂集中处理，从水质上分析安全可行。</w:t>
            </w:r>
          </w:p>
          <w:p>
            <w:pPr>
              <w:pStyle w:val="27"/>
              <w:snapToGrid/>
              <w:spacing w:line="360" w:lineRule="auto"/>
              <w:ind w:firstLine="420" w:firstLineChars="200"/>
              <w:jc w:val="left"/>
              <w:rPr>
                <w:rFonts w:cs="Times New Roman"/>
                <w:szCs w:val="21"/>
              </w:rPr>
            </w:pPr>
            <w:r>
              <w:rPr>
                <w:rFonts w:hint="eastAsia" w:cs="Times New Roman"/>
                <w:szCs w:val="21"/>
              </w:rPr>
              <w:t>管网和污水处理厂建设进度：目前武南污水处理厂已投入运行，建设项目位于</w:t>
            </w:r>
            <w:r>
              <w:rPr>
                <w:rFonts w:hint="eastAsia" w:cs="Times New Roman"/>
                <w:szCs w:val="21"/>
                <w:lang w:eastAsia="zh-CN"/>
              </w:rPr>
              <w:t>武南</w:t>
            </w:r>
            <w:r>
              <w:rPr>
                <w:rFonts w:hint="eastAsia" w:cs="Times New Roman"/>
                <w:szCs w:val="21"/>
              </w:rPr>
              <w:t>污水处理厂的服务范围内，且项目所在地的污水管网已铺设到位。</w:t>
            </w:r>
          </w:p>
          <w:p>
            <w:pPr>
              <w:pStyle w:val="27"/>
              <w:snapToGrid/>
              <w:spacing w:line="360" w:lineRule="auto"/>
              <w:ind w:firstLine="420" w:firstLineChars="200"/>
              <w:jc w:val="left"/>
              <w:rPr>
                <w:rFonts w:cs="Times New Roman"/>
                <w:szCs w:val="21"/>
              </w:rPr>
            </w:pPr>
            <w:r>
              <w:rPr>
                <w:rFonts w:hint="eastAsia" w:cs="Times New Roman"/>
                <w:szCs w:val="21"/>
              </w:rPr>
              <w:t>综上所述，从水质水量、接管标准及建设进度等方面综合考虑，本项目废水接管进</w:t>
            </w:r>
            <w:r>
              <w:rPr>
                <w:rFonts w:hint="eastAsia" w:cs="Times New Roman"/>
                <w:szCs w:val="21"/>
                <w:lang w:eastAsia="zh-CN"/>
              </w:rPr>
              <w:t>武南</w:t>
            </w:r>
            <w:r>
              <w:rPr>
                <w:rFonts w:hint="eastAsia" w:cs="Times New Roman"/>
                <w:szCs w:val="21"/>
              </w:rPr>
              <w:t>污水处理厂处理可行。</w:t>
            </w:r>
          </w:p>
          <w:p>
            <w:pPr>
              <w:pStyle w:val="9"/>
              <w:numPr>
                <w:ilvl w:val="0"/>
                <w:numId w:val="0"/>
              </w:numPr>
              <w:spacing w:line="360" w:lineRule="auto"/>
              <w:ind w:firstLine="422" w:firstLineChars="200"/>
              <w:rPr>
                <w:b/>
                <w:bCs/>
                <w:szCs w:val="21"/>
              </w:rPr>
            </w:pPr>
            <w:r>
              <w:rPr>
                <w:rFonts w:hint="eastAsia"/>
                <w:b/>
                <w:bCs/>
                <w:szCs w:val="21"/>
                <w:lang w:val="en-US" w:eastAsia="zh-CN"/>
              </w:rPr>
              <w:t>4</w:t>
            </w:r>
            <w:r>
              <w:rPr>
                <w:rFonts w:hint="eastAsia"/>
                <w:b/>
                <w:bCs/>
                <w:szCs w:val="21"/>
              </w:rPr>
              <w:t>、废水监测计划</w:t>
            </w:r>
          </w:p>
          <w:p>
            <w:pPr>
              <w:spacing w:line="360" w:lineRule="auto"/>
              <w:ind w:firstLine="420" w:firstLineChars="200"/>
              <w:rPr>
                <w:szCs w:val="21"/>
              </w:rPr>
            </w:pPr>
            <w:r>
              <w:rPr>
                <w:szCs w:val="21"/>
              </w:rPr>
              <w:t>监测点位：本项目污水接管口按照《江苏省排污口设置及规范化整治管理办法》中的有关规定，在厂区污水接管口、废水处理设施排放口设置采样平台；</w:t>
            </w:r>
          </w:p>
          <w:p>
            <w:pPr>
              <w:spacing w:line="360" w:lineRule="auto"/>
              <w:ind w:firstLine="420" w:firstLineChars="200"/>
              <w:rPr>
                <w:szCs w:val="21"/>
              </w:rPr>
            </w:pPr>
            <w:r>
              <w:rPr>
                <w:szCs w:val="21"/>
              </w:rPr>
              <w:t>监测频次：按《排污单位自行监测技术指南 总则》（HJ819-2017）要求监测；</w:t>
            </w:r>
          </w:p>
          <w:p>
            <w:pPr>
              <w:spacing w:line="360" w:lineRule="auto"/>
              <w:ind w:firstLine="420" w:firstLineChars="200"/>
              <w:rPr>
                <w:szCs w:val="21"/>
              </w:rPr>
            </w:pPr>
            <w:r>
              <w:rPr>
                <w:rFonts w:hint="eastAsia"/>
                <w:szCs w:val="21"/>
              </w:rPr>
              <w:t>污水</w:t>
            </w:r>
            <w:r>
              <w:rPr>
                <w:szCs w:val="21"/>
              </w:rPr>
              <w:t>接管口监测因子：COD、SS、氨氮、总磷、总氮。</w:t>
            </w:r>
          </w:p>
          <w:p>
            <w:pPr>
              <w:pStyle w:val="8"/>
              <w:snapToGrid/>
              <w:spacing w:before="0" w:after="0" w:line="360" w:lineRule="auto"/>
              <w:ind w:right="0"/>
              <w:rPr>
                <w:sz w:val="21"/>
                <w:szCs w:val="21"/>
              </w:rPr>
            </w:pPr>
            <w:r>
              <w:rPr>
                <w:sz w:val="21"/>
                <w:szCs w:val="21"/>
              </w:rPr>
              <w:t xml:space="preserve">    废水监测计划见表</w:t>
            </w:r>
            <w:r>
              <w:rPr>
                <w:rFonts w:hint="eastAsia"/>
                <w:sz w:val="21"/>
                <w:szCs w:val="21"/>
              </w:rPr>
              <w:t>4-6</w:t>
            </w:r>
            <w:r>
              <w:rPr>
                <w:sz w:val="21"/>
                <w:szCs w:val="21"/>
              </w:rPr>
              <w:t>。</w:t>
            </w:r>
          </w:p>
          <w:p>
            <w:pPr>
              <w:pStyle w:val="8"/>
              <w:snapToGrid/>
              <w:spacing w:before="0" w:after="0" w:line="360" w:lineRule="auto"/>
              <w:ind w:right="0"/>
              <w:jc w:val="center"/>
              <w:rPr>
                <w:b/>
                <w:bCs/>
                <w:sz w:val="21"/>
                <w:szCs w:val="21"/>
              </w:rPr>
            </w:pPr>
            <w:r>
              <w:rPr>
                <w:b/>
                <w:bCs/>
                <w:sz w:val="21"/>
                <w:szCs w:val="21"/>
              </w:rPr>
              <w:t>表</w:t>
            </w:r>
            <w:r>
              <w:rPr>
                <w:rFonts w:hint="eastAsia"/>
                <w:b/>
                <w:bCs/>
                <w:sz w:val="21"/>
                <w:szCs w:val="21"/>
              </w:rPr>
              <w:t>4-6</w:t>
            </w:r>
            <w:r>
              <w:rPr>
                <w:b/>
                <w:bCs/>
                <w:sz w:val="21"/>
                <w:szCs w:val="21"/>
              </w:rPr>
              <w:t xml:space="preserve">  废水监测计划表</w:t>
            </w:r>
          </w:p>
          <w:tbl>
            <w:tblPr>
              <w:tblStyle w:val="21"/>
              <w:tblW w:w="815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74"/>
              <w:gridCol w:w="2093"/>
              <w:gridCol w:w="1180"/>
              <w:gridCol w:w="38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40" w:hRule="atLeast"/>
                <w:jc w:val="center"/>
              </w:trPr>
              <w:tc>
                <w:tcPr>
                  <w:tcW w:w="1074" w:type="dxa"/>
                  <w:vAlign w:val="center"/>
                </w:tcPr>
                <w:p>
                  <w:pPr>
                    <w:snapToGrid w:val="0"/>
                    <w:spacing w:line="320" w:lineRule="exact"/>
                    <w:jc w:val="center"/>
                    <w:rPr>
                      <w:b/>
                      <w:szCs w:val="21"/>
                    </w:rPr>
                  </w:pPr>
                  <w:r>
                    <w:rPr>
                      <w:b/>
                      <w:szCs w:val="21"/>
                    </w:rPr>
                    <w:t>监测点位</w:t>
                  </w:r>
                </w:p>
              </w:tc>
              <w:tc>
                <w:tcPr>
                  <w:tcW w:w="2093" w:type="dxa"/>
                  <w:vAlign w:val="center"/>
                </w:tcPr>
                <w:p>
                  <w:pPr>
                    <w:snapToGrid w:val="0"/>
                    <w:spacing w:line="320" w:lineRule="exact"/>
                    <w:jc w:val="center"/>
                    <w:rPr>
                      <w:b/>
                      <w:szCs w:val="21"/>
                    </w:rPr>
                  </w:pPr>
                  <w:r>
                    <w:rPr>
                      <w:b/>
                      <w:szCs w:val="21"/>
                    </w:rPr>
                    <w:t>监测因子</w:t>
                  </w:r>
                </w:p>
              </w:tc>
              <w:tc>
                <w:tcPr>
                  <w:tcW w:w="1180" w:type="dxa"/>
                  <w:vAlign w:val="center"/>
                </w:tcPr>
                <w:p>
                  <w:pPr>
                    <w:snapToGrid w:val="0"/>
                    <w:spacing w:line="320" w:lineRule="exact"/>
                    <w:jc w:val="center"/>
                    <w:rPr>
                      <w:b/>
                      <w:szCs w:val="21"/>
                    </w:rPr>
                  </w:pPr>
                  <w:r>
                    <w:rPr>
                      <w:b/>
                      <w:szCs w:val="21"/>
                    </w:rPr>
                    <w:t>监测频次</w:t>
                  </w:r>
                </w:p>
              </w:tc>
              <w:tc>
                <w:tcPr>
                  <w:tcW w:w="3805" w:type="dxa"/>
                  <w:vAlign w:val="center"/>
                </w:tcPr>
                <w:p>
                  <w:pPr>
                    <w:snapToGrid w:val="0"/>
                    <w:spacing w:line="320" w:lineRule="exact"/>
                    <w:jc w:val="center"/>
                    <w:rPr>
                      <w:b/>
                      <w:szCs w:val="21"/>
                    </w:rPr>
                  </w:pPr>
                  <w:r>
                    <w:rPr>
                      <w:b/>
                      <w:szCs w:val="21"/>
                    </w:rPr>
                    <w:t>执行排放标准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670" w:hRule="atLeast"/>
                <w:jc w:val="center"/>
              </w:trPr>
              <w:tc>
                <w:tcPr>
                  <w:tcW w:w="1074" w:type="dxa"/>
                  <w:vAlign w:val="center"/>
                </w:tcPr>
                <w:p>
                  <w:pPr>
                    <w:snapToGrid w:val="0"/>
                    <w:spacing w:line="240" w:lineRule="exact"/>
                    <w:jc w:val="center"/>
                    <w:rPr>
                      <w:szCs w:val="21"/>
                    </w:rPr>
                  </w:pPr>
                  <w:r>
                    <w:rPr>
                      <w:szCs w:val="21"/>
                    </w:rPr>
                    <w:t>污水接管口</w:t>
                  </w:r>
                </w:p>
              </w:tc>
              <w:tc>
                <w:tcPr>
                  <w:tcW w:w="2093" w:type="dxa"/>
                  <w:vAlign w:val="center"/>
                </w:tcPr>
                <w:p>
                  <w:pPr>
                    <w:jc w:val="center"/>
                    <w:rPr>
                      <w:szCs w:val="21"/>
                    </w:rPr>
                  </w:pPr>
                  <w:r>
                    <w:rPr>
                      <w:szCs w:val="21"/>
                    </w:rPr>
                    <w:t>COD、SS、氨氮、总磷、总氮</w:t>
                  </w:r>
                </w:p>
              </w:tc>
              <w:tc>
                <w:tcPr>
                  <w:tcW w:w="1180" w:type="dxa"/>
                  <w:vAlign w:val="center"/>
                </w:tcPr>
                <w:p>
                  <w:pPr>
                    <w:jc w:val="center"/>
                    <w:rPr>
                      <w:rFonts w:hint="eastAsia" w:eastAsia="宋体"/>
                      <w:szCs w:val="21"/>
                      <w:lang w:eastAsia="zh-CN"/>
                    </w:rPr>
                  </w:pPr>
                  <w:r>
                    <w:rPr>
                      <w:szCs w:val="21"/>
                    </w:rPr>
                    <w:t>每</w:t>
                  </w:r>
                  <w:r>
                    <w:rPr>
                      <w:rFonts w:hint="eastAsia"/>
                      <w:szCs w:val="21"/>
                      <w:lang w:val="en-US" w:eastAsia="zh-CN"/>
                    </w:rPr>
                    <w:t>年</w:t>
                  </w:r>
                </w:p>
                <w:p>
                  <w:pPr>
                    <w:jc w:val="center"/>
                    <w:rPr>
                      <w:szCs w:val="21"/>
                    </w:rPr>
                  </w:pPr>
                  <w:r>
                    <w:rPr>
                      <w:szCs w:val="21"/>
                    </w:rPr>
                    <w:t>监测1次</w:t>
                  </w:r>
                </w:p>
              </w:tc>
              <w:tc>
                <w:tcPr>
                  <w:tcW w:w="3805" w:type="dxa"/>
                  <w:vAlign w:val="center"/>
                </w:tcPr>
                <w:p>
                  <w:pPr>
                    <w:snapToGrid w:val="0"/>
                    <w:spacing w:line="320" w:lineRule="exact"/>
                    <w:jc w:val="center"/>
                    <w:rPr>
                      <w:szCs w:val="21"/>
                    </w:rPr>
                  </w:pPr>
                  <w:r>
                    <w:rPr>
                      <w:szCs w:val="21"/>
                    </w:rPr>
                    <w:t>《污水排入城镇下水道水质标准》(GB/T31962-2015</w:t>
                  </w:r>
                  <w:r>
                    <w:rPr>
                      <w:rFonts w:hint="eastAsia"/>
                      <w:szCs w:val="21"/>
                      <w:lang w:eastAsia="zh-CN"/>
                    </w:rPr>
                    <w:t>）</w:t>
                  </w:r>
                  <w:r>
                    <w:rPr>
                      <w:rFonts w:hint="eastAsia"/>
                      <w:szCs w:val="21"/>
                    </w:rPr>
                    <w:t>表1B级</w:t>
                  </w:r>
                </w:p>
              </w:tc>
            </w:tr>
          </w:tbl>
          <w:p>
            <w:pPr>
              <w:pStyle w:val="9"/>
              <w:numPr>
                <w:ilvl w:val="0"/>
                <w:numId w:val="0"/>
              </w:numPr>
              <w:spacing w:line="360" w:lineRule="auto"/>
              <w:ind w:firstLine="422" w:firstLineChars="200"/>
              <w:rPr>
                <w:b/>
                <w:bCs/>
                <w:szCs w:val="21"/>
              </w:rPr>
            </w:pPr>
            <w:r>
              <w:rPr>
                <w:rFonts w:hint="eastAsia"/>
                <w:b/>
                <w:bCs/>
                <w:szCs w:val="21"/>
              </w:rPr>
              <w:t>二、运营期大气环境影响和保护措施</w:t>
            </w:r>
          </w:p>
          <w:p>
            <w:pPr>
              <w:pStyle w:val="9"/>
              <w:numPr>
                <w:ilvl w:val="0"/>
                <w:numId w:val="0"/>
              </w:numPr>
              <w:spacing w:line="360" w:lineRule="auto"/>
              <w:ind w:firstLine="422" w:firstLineChars="200"/>
              <w:rPr>
                <w:b/>
                <w:bCs/>
                <w:szCs w:val="21"/>
              </w:rPr>
            </w:pPr>
            <w:r>
              <w:rPr>
                <w:b/>
                <w:bCs/>
                <w:szCs w:val="21"/>
              </w:rPr>
              <w:t>1</w:t>
            </w:r>
            <w:r>
              <w:rPr>
                <w:rFonts w:hint="eastAsia"/>
                <w:b/>
                <w:bCs/>
                <w:szCs w:val="21"/>
              </w:rPr>
              <w:t>、大气污染物产生及排放情况</w:t>
            </w:r>
          </w:p>
          <w:p>
            <w:pPr>
              <w:spacing w:line="360" w:lineRule="auto"/>
              <w:ind w:firstLine="420" w:firstLineChars="200"/>
              <w:jc w:val="left"/>
              <w:rPr>
                <w:rFonts w:hint="eastAsia"/>
                <w:b w:val="0"/>
                <w:bCs w:val="0"/>
                <w:szCs w:val="21"/>
              </w:rPr>
            </w:pPr>
            <w:r>
              <w:rPr>
                <w:rFonts w:hint="eastAsia"/>
                <w:b w:val="0"/>
                <w:bCs w:val="0"/>
                <w:szCs w:val="21"/>
              </w:rPr>
              <w:t>1</w:t>
            </w:r>
            <w:r>
              <w:rPr>
                <w:rFonts w:hint="eastAsia"/>
                <w:b w:val="0"/>
                <w:bCs w:val="0"/>
                <w:szCs w:val="21"/>
                <w:lang w:eastAsia="zh-CN"/>
              </w:rPr>
              <w:t>.</w:t>
            </w:r>
            <w:r>
              <w:rPr>
                <w:rFonts w:hint="eastAsia"/>
                <w:b w:val="0"/>
                <w:bCs w:val="0"/>
                <w:szCs w:val="21"/>
                <w:lang w:val="en-US" w:eastAsia="zh-CN"/>
              </w:rPr>
              <w:t>1</w:t>
            </w:r>
            <w:r>
              <w:rPr>
                <w:rFonts w:hint="eastAsia"/>
                <w:b w:val="0"/>
                <w:bCs w:val="0"/>
                <w:szCs w:val="21"/>
              </w:rPr>
              <w:t>、废气源强核算</w:t>
            </w:r>
          </w:p>
          <w:p>
            <w:pPr>
              <w:spacing w:line="360" w:lineRule="auto"/>
              <w:ind w:firstLine="420" w:firstLineChars="200"/>
              <w:jc w:val="left"/>
              <w:rPr>
                <w:rFonts w:hint="eastAsia"/>
                <w:b w:val="0"/>
                <w:bCs w:val="0"/>
                <w:szCs w:val="21"/>
                <w:lang w:val="en-US" w:eastAsia="zh-CN"/>
              </w:rPr>
            </w:pPr>
            <w:r>
              <w:rPr>
                <w:rFonts w:hint="eastAsia"/>
                <w:b w:val="0"/>
                <w:bCs w:val="0"/>
                <w:szCs w:val="21"/>
              </w:rPr>
              <w:t>吹塑废气G1</w:t>
            </w:r>
            <w:r>
              <w:rPr>
                <w:rFonts w:hint="eastAsia"/>
                <w:b w:val="0"/>
                <w:bCs w:val="0"/>
                <w:szCs w:val="21"/>
                <w:lang w:eastAsia="zh-CN"/>
              </w:rPr>
              <w:t>、</w:t>
            </w:r>
            <w:r>
              <w:rPr>
                <w:rFonts w:hint="eastAsia"/>
                <w:b w:val="0"/>
                <w:bCs w:val="0"/>
                <w:szCs w:val="21"/>
                <w:lang w:val="en-US" w:eastAsia="zh-CN"/>
              </w:rPr>
              <w:t>制袋、烫袋</w:t>
            </w:r>
            <w:r>
              <w:rPr>
                <w:rFonts w:hint="eastAsia"/>
                <w:b w:val="0"/>
                <w:bCs w:val="0"/>
                <w:szCs w:val="21"/>
              </w:rPr>
              <w:t>废气G</w:t>
            </w:r>
            <w:r>
              <w:rPr>
                <w:rFonts w:hint="eastAsia"/>
                <w:b w:val="0"/>
                <w:bCs w:val="0"/>
                <w:szCs w:val="21"/>
                <w:lang w:val="en-US" w:eastAsia="zh-CN"/>
              </w:rPr>
              <w:t>2</w:t>
            </w:r>
          </w:p>
          <w:p>
            <w:pPr>
              <w:spacing w:line="360" w:lineRule="auto"/>
              <w:ind w:firstLine="420" w:firstLineChars="200"/>
              <w:jc w:val="left"/>
              <w:rPr>
                <w:rFonts w:hint="eastAsia"/>
                <w:b w:val="0"/>
                <w:bCs w:val="0"/>
                <w:szCs w:val="21"/>
              </w:rPr>
            </w:pPr>
            <w:r>
              <w:rPr>
                <w:rFonts w:hint="eastAsia"/>
                <w:b w:val="0"/>
                <w:bCs w:val="0"/>
                <w:szCs w:val="21"/>
              </w:rPr>
              <w:t>本项目在</w:t>
            </w:r>
            <w:r>
              <w:rPr>
                <w:rFonts w:hint="eastAsia"/>
                <w:b w:val="0"/>
                <w:bCs w:val="0"/>
                <w:szCs w:val="21"/>
                <w:lang w:val="en-US" w:eastAsia="zh-CN"/>
              </w:rPr>
              <w:t>吹塑</w:t>
            </w:r>
            <w:r>
              <w:rPr>
                <w:rFonts w:hint="eastAsia"/>
                <w:b w:val="0"/>
                <w:bCs w:val="0"/>
                <w:szCs w:val="21"/>
              </w:rPr>
              <w:t>、制袋</w:t>
            </w:r>
            <w:r>
              <w:rPr>
                <w:rFonts w:hint="eastAsia"/>
                <w:b w:val="0"/>
                <w:bCs w:val="0"/>
                <w:szCs w:val="21"/>
                <w:lang w:val="en-US" w:eastAsia="zh-CN"/>
              </w:rPr>
              <w:t>、烫袋</w:t>
            </w:r>
            <w:r>
              <w:rPr>
                <w:rFonts w:hint="eastAsia"/>
                <w:b w:val="0"/>
                <w:bCs w:val="0"/>
                <w:szCs w:val="21"/>
              </w:rPr>
              <w:t>过程中加热塑料产生有机废气(以非甲烷总烃计)，根据《</w:t>
            </w:r>
            <w:r>
              <w:rPr>
                <w:rFonts w:hint="eastAsia"/>
                <w:b w:val="0"/>
                <w:bCs w:val="0"/>
                <w:szCs w:val="21"/>
                <w:lang w:val="en-US" w:eastAsia="zh-CN"/>
              </w:rPr>
              <w:t>292</w:t>
            </w:r>
            <w:r>
              <w:rPr>
                <w:rFonts w:hint="eastAsia"/>
                <w:b w:val="0"/>
                <w:bCs w:val="0"/>
                <w:szCs w:val="21"/>
              </w:rPr>
              <w:t>塑料行业系数手册》</w:t>
            </w:r>
            <w:r>
              <w:rPr>
                <w:rFonts w:hint="eastAsia"/>
                <w:b w:val="0"/>
                <w:bCs w:val="0"/>
                <w:szCs w:val="21"/>
                <w:lang w:val="en-US" w:eastAsia="zh-CN"/>
              </w:rPr>
              <w:t>表2921 塑料薄膜制造行业系数表的排放系数</w:t>
            </w:r>
            <w:r>
              <w:rPr>
                <w:rFonts w:hint="eastAsia"/>
                <w:b w:val="0"/>
                <w:bCs w:val="0"/>
                <w:szCs w:val="21"/>
              </w:rPr>
              <w:t>，</w:t>
            </w:r>
            <w:r>
              <w:rPr>
                <w:rFonts w:hint="eastAsia"/>
                <w:b w:val="0"/>
                <w:bCs w:val="0"/>
                <w:szCs w:val="21"/>
                <w:lang w:val="en-US" w:eastAsia="zh-CN"/>
              </w:rPr>
              <w:t>非甲烷总烃产生量为</w:t>
            </w:r>
            <w:r>
              <w:rPr>
                <w:rFonts w:hint="eastAsia"/>
                <w:b w:val="0"/>
                <w:bCs w:val="0"/>
                <w:szCs w:val="21"/>
              </w:rPr>
              <w:t>2.5kg/t-产品，本项目</w:t>
            </w:r>
            <w:r>
              <w:rPr>
                <w:rFonts w:hint="eastAsia"/>
                <w:b w:val="0"/>
                <w:bCs w:val="0"/>
                <w:szCs w:val="21"/>
                <w:lang w:val="en-US" w:eastAsia="zh-CN"/>
              </w:rPr>
              <w:t>年设计产能为300万只医疗器械用塑料包装袋</w:t>
            </w:r>
            <w:r>
              <w:rPr>
                <w:rFonts w:hint="eastAsia"/>
                <w:b w:val="0"/>
                <w:bCs w:val="0"/>
                <w:szCs w:val="21"/>
              </w:rPr>
              <w:t>，</w:t>
            </w:r>
            <w:r>
              <w:rPr>
                <w:rFonts w:hint="eastAsia"/>
                <w:b w:val="0"/>
                <w:bCs w:val="0"/>
                <w:szCs w:val="21"/>
                <w:lang w:val="en-US" w:eastAsia="zh-CN"/>
              </w:rPr>
              <w:t>约50t/年，</w:t>
            </w:r>
            <w:r>
              <w:rPr>
                <w:rFonts w:hint="eastAsia"/>
                <w:b w:val="0"/>
                <w:bCs w:val="0"/>
                <w:szCs w:val="21"/>
              </w:rPr>
              <w:t>则非甲烷总烃产生量为</w:t>
            </w:r>
            <w:r>
              <w:rPr>
                <w:rFonts w:hint="eastAsia"/>
                <w:b w:val="0"/>
                <w:bCs w:val="0"/>
                <w:szCs w:val="21"/>
                <w:lang w:val="en-US" w:eastAsia="zh-CN"/>
              </w:rPr>
              <w:t>50</w:t>
            </w:r>
            <w:r>
              <w:rPr>
                <w:rFonts w:hint="eastAsia"/>
                <w:b w:val="0"/>
                <w:bCs w:val="0"/>
                <w:szCs w:val="21"/>
              </w:rPr>
              <w:t>×2.5/1000=</w:t>
            </w:r>
            <w:r>
              <w:rPr>
                <w:rFonts w:hint="eastAsia"/>
                <w:b w:val="0"/>
                <w:bCs w:val="0"/>
                <w:szCs w:val="21"/>
                <w:lang w:val="en-US" w:eastAsia="zh-CN"/>
              </w:rPr>
              <w:t>0.125</w:t>
            </w:r>
            <w:r>
              <w:rPr>
                <w:rFonts w:hint="eastAsia"/>
                <w:b w:val="0"/>
                <w:bCs w:val="0"/>
                <w:szCs w:val="21"/>
              </w:rPr>
              <w:t>t/a，项目吹塑</w:t>
            </w:r>
            <w:r>
              <w:rPr>
                <w:rFonts w:hint="eastAsia"/>
                <w:b w:val="0"/>
                <w:bCs w:val="0"/>
                <w:szCs w:val="21"/>
                <w:lang w:eastAsia="zh-CN"/>
              </w:rPr>
              <w:t>、</w:t>
            </w:r>
            <w:r>
              <w:rPr>
                <w:rFonts w:hint="eastAsia"/>
                <w:b w:val="0"/>
                <w:bCs w:val="0"/>
                <w:szCs w:val="21"/>
                <w:lang w:val="en-US" w:eastAsia="zh-CN"/>
              </w:rPr>
              <w:t>制袋、烫袋</w:t>
            </w:r>
            <w:r>
              <w:rPr>
                <w:rFonts w:hint="eastAsia"/>
                <w:b w:val="0"/>
                <w:bCs w:val="0"/>
                <w:szCs w:val="21"/>
              </w:rPr>
              <w:t>工段为2400h/a。</w:t>
            </w:r>
          </w:p>
          <w:p>
            <w:pPr>
              <w:spacing w:line="360" w:lineRule="auto"/>
              <w:ind w:firstLine="420" w:firstLineChars="200"/>
              <w:jc w:val="left"/>
              <w:rPr>
                <w:rFonts w:hint="eastAsia"/>
                <w:b w:val="0"/>
                <w:bCs w:val="0"/>
                <w:color w:val="000000" w:themeColor="text1"/>
                <w:szCs w:val="21"/>
                <w14:textFill>
                  <w14:solidFill>
                    <w14:schemeClr w14:val="tx1"/>
                  </w14:solidFill>
                </w14:textFill>
              </w:rPr>
            </w:pPr>
            <w:r>
              <w:rPr>
                <w:rFonts w:hint="eastAsia"/>
                <w:b w:val="0"/>
                <w:bCs w:val="0"/>
                <w:color w:val="000000" w:themeColor="text1"/>
                <w:szCs w:val="21"/>
                <w:lang w:val="en-US" w:eastAsia="zh-CN"/>
                <w14:textFill>
                  <w14:solidFill>
                    <w14:schemeClr w14:val="tx1"/>
                  </w14:solidFill>
                </w14:textFill>
              </w:rPr>
              <w:t>1.</w:t>
            </w:r>
            <w:r>
              <w:rPr>
                <w:rFonts w:hint="eastAsia"/>
                <w:b w:val="0"/>
                <w:bCs w:val="0"/>
                <w:color w:val="000000" w:themeColor="text1"/>
                <w:szCs w:val="21"/>
                <w14:textFill>
                  <w14:solidFill>
                    <w14:schemeClr w14:val="tx1"/>
                  </w14:solidFill>
                </w14:textFill>
              </w:rPr>
              <w:t>2、废气治理设施及排放情况</w:t>
            </w:r>
          </w:p>
          <w:p>
            <w:pPr>
              <w:spacing w:line="360" w:lineRule="auto"/>
              <w:ind w:firstLine="420" w:firstLineChars="200"/>
              <w:jc w:val="left"/>
              <w:rPr>
                <w:rFonts w:hint="eastAsia"/>
                <w:b w:val="0"/>
                <w:bCs w:val="0"/>
                <w:color w:val="000000" w:themeColor="text1"/>
                <w:szCs w:val="21"/>
                <w14:textFill>
                  <w14:solidFill>
                    <w14:schemeClr w14:val="tx1"/>
                  </w14:solidFill>
                </w14:textFill>
              </w:rPr>
            </w:pPr>
            <w:r>
              <w:rPr>
                <w:rFonts w:hint="eastAsia"/>
                <w:b w:val="0"/>
                <w:bCs w:val="0"/>
                <w:color w:val="000000" w:themeColor="text1"/>
                <w:szCs w:val="21"/>
                <w14:textFill>
                  <w14:solidFill>
                    <w14:schemeClr w14:val="tx1"/>
                  </w14:solidFill>
                </w14:textFill>
              </w:rPr>
              <w:t>本项目拟在吹塑、</w:t>
            </w:r>
            <w:r>
              <w:rPr>
                <w:rFonts w:hint="eastAsia"/>
                <w:b w:val="0"/>
                <w:bCs w:val="0"/>
                <w:color w:val="000000" w:themeColor="text1"/>
                <w:szCs w:val="21"/>
                <w:lang w:val="en-US" w:eastAsia="zh-CN"/>
                <w14:textFill>
                  <w14:solidFill>
                    <w14:schemeClr w14:val="tx1"/>
                  </w14:solidFill>
                </w14:textFill>
              </w:rPr>
              <w:t>制袋、烫袋</w:t>
            </w:r>
            <w:r>
              <w:rPr>
                <w:rFonts w:hint="eastAsia"/>
                <w:b w:val="0"/>
                <w:bCs w:val="0"/>
                <w:color w:val="000000" w:themeColor="text1"/>
                <w:szCs w:val="21"/>
                <w14:textFill>
                  <w14:solidFill>
                    <w14:schemeClr w14:val="tx1"/>
                  </w14:solidFill>
                </w14:textFill>
              </w:rPr>
              <w:t>设备加热区域设置集气罩。吹塑、</w:t>
            </w:r>
            <w:r>
              <w:rPr>
                <w:rFonts w:hint="eastAsia"/>
                <w:b w:val="0"/>
                <w:bCs w:val="0"/>
                <w:color w:val="000000" w:themeColor="text1"/>
                <w:szCs w:val="21"/>
                <w:lang w:val="en-US" w:eastAsia="zh-CN"/>
                <w14:textFill>
                  <w14:solidFill>
                    <w14:schemeClr w14:val="tx1"/>
                  </w14:solidFill>
                </w14:textFill>
              </w:rPr>
              <w:t>制袋、烫袋</w:t>
            </w:r>
            <w:r>
              <w:rPr>
                <w:rFonts w:hint="eastAsia"/>
                <w:b w:val="0"/>
                <w:bCs w:val="0"/>
                <w:color w:val="000000" w:themeColor="text1"/>
                <w:szCs w:val="21"/>
                <w14:textFill>
                  <w14:solidFill>
                    <w14:schemeClr w14:val="tx1"/>
                  </w14:solidFill>
                </w14:textFill>
              </w:rPr>
              <w:t>废气经收集后一起通入一套</w:t>
            </w:r>
            <w:r>
              <w:rPr>
                <w:rFonts w:hint="eastAsia"/>
                <w:b w:val="0"/>
                <w:bCs w:val="0"/>
                <w:color w:val="000000" w:themeColor="text1"/>
                <w:szCs w:val="21"/>
                <w:lang w:val="en-US" w:eastAsia="zh-CN"/>
                <w14:textFill>
                  <w14:solidFill>
                    <w14:schemeClr w14:val="tx1"/>
                  </w14:solidFill>
                </w14:textFill>
              </w:rPr>
              <w:t>二级</w:t>
            </w:r>
            <w:r>
              <w:rPr>
                <w:rFonts w:hint="eastAsia"/>
                <w:b w:val="0"/>
                <w:bCs w:val="0"/>
                <w:color w:val="000000" w:themeColor="text1"/>
                <w:szCs w:val="21"/>
                <w14:textFill>
                  <w14:solidFill>
                    <w14:schemeClr w14:val="tx1"/>
                  </w14:solidFill>
                </w14:textFill>
              </w:rPr>
              <w:t>活性炭吸附装置处理，处理后的废气经15m高排气筒DA001有组织排放；废气收集效率均为90%，两级活性炭吸附装置废气处理效率按90%计，项目年运行时长为2400h。</w:t>
            </w:r>
          </w:p>
          <w:p>
            <w:pPr>
              <w:spacing w:line="360" w:lineRule="auto"/>
              <w:ind w:firstLine="420" w:firstLineChars="200"/>
              <w:jc w:val="left"/>
              <w:rPr>
                <w:rFonts w:hint="eastAsia"/>
                <w:b w:val="0"/>
                <w:bCs w:val="0"/>
                <w:szCs w:val="21"/>
              </w:rPr>
            </w:pPr>
            <w:r>
              <w:rPr>
                <w:rFonts w:hint="eastAsia"/>
                <w:b w:val="0"/>
                <w:bCs w:val="0"/>
                <w:szCs w:val="21"/>
              </w:rPr>
              <w:t>则本项目生产工艺过程中DA001</w:t>
            </w:r>
            <w:r>
              <w:rPr>
                <w:rFonts w:hint="eastAsia"/>
                <w:b w:val="0"/>
                <w:bCs w:val="0"/>
                <w:color w:val="000000" w:themeColor="text1"/>
                <w:szCs w:val="21"/>
                <w14:textFill>
                  <w14:solidFill>
                    <w14:schemeClr w14:val="tx1"/>
                  </w14:solidFill>
                </w14:textFill>
              </w:rPr>
              <w:t>吹塑、</w:t>
            </w:r>
            <w:r>
              <w:rPr>
                <w:rFonts w:hint="eastAsia"/>
                <w:b w:val="0"/>
                <w:bCs w:val="0"/>
                <w:color w:val="000000" w:themeColor="text1"/>
                <w:szCs w:val="21"/>
                <w:lang w:val="en-US" w:eastAsia="zh-CN"/>
                <w14:textFill>
                  <w14:solidFill>
                    <w14:schemeClr w14:val="tx1"/>
                  </w14:solidFill>
                </w14:textFill>
              </w:rPr>
              <w:t>制袋、烫袋</w:t>
            </w:r>
            <w:r>
              <w:rPr>
                <w:rFonts w:hint="eastAsia"/>
                <w:b w:val="0"/>
                <w:bCs w:val="0"/>
                <w:szCs w:val="21"/>
              </w:rPr>
              <w:t>工段非甲烷总烃有组织产生量为</w:t>
            </w:r>
            <w:r>
              <w:rPr>
                <w:rFonts w:hint="eastAsia"/>
                <w:b w:val="0"/>
                <w:bCs w:val="0"/>
                <w:szCs w:val="21"/>
                <w:lang w:val="en-US" w:eastAsia="zh-CN"/>
              </w:rPr>
              <w:t>0.125</w:t>
            </w:r>
            <w:r>
              <w:rPr>
                <w:rFonts w:hint="eastAsia"/>
                <w:b w:val="0"/>
                <w:bCs w:val="0"/>
                <w:szCs w:val="21"/>
              </w:rPr>
              <w:t>×0.9=</w:t>
            </w:r>
            <w:r>
              <w:rPr>
                <w:rFonts w:hint="eastAsia"/>
                <w:b w:val="0"/>
                <w:bCs w:val="0"/>
                <w:szCs w:val="21"/>
                <w:lang w:val="en-US" w:eastAsia="zh-CN"/>
              </w:rPr>
              <w:t>0.1125</w:t>
            </w:r>
            <w:r>
              <w:rPr>
                <w:rFonts w:hint="eastAsia"/>
                <w:b w:val="0"/>
                <w:bCs w:val="0"/>
                <w:szCs w:val="21"/>
              </w:rPr>
              <w:t>t/a，产生速率为</w:t>
            </w:r>
            <w:r>
              <w:rPr>
                <w:rFonts w:hint="eastAsia"/>
                <w:b w:val="0"/>
                <w:bCs w:val="0"/>
                <w:szCs w:val="21"/>
                <w:lang w:val="en-US" w:eastAsia="zh-CN"/>
              </w:rPr>
              <w:t>0.1125</w:t>
            </w:r>
            <w:r>
              <w:rPr>
                <w:rFonts w:hint="eastAsia"/>
                <w:b w:val="0"/>
                <w:bCs w:val="0"/>
                <w:szCs w:val="21"/>
              </w:rPr>
              <w:t>×1000/2400=</w:t>
            </w:r>
            <w:r>
              <w:rPr>
                <w:rFonts w:hint="eastAsia"/>
                <w:b w:val="0"/>
                <w:bCs w:val="0"/>
                <w:szCs w:val="21"/>
                <w:lang w:val="en-US" w:eastAsia="zh-CN"/>
              </w:rPr>
              <w:t>0.047</w:t>
            </w:r>
            <w:r>
              <w:rPr>
                <w:rFonts w:hint="eastAsia"/>
                <w:b w:val="0"/>
                <w:bCs w:val="0"/>
                <w:szCs w:val="21"/>
              </w:rPr>
              <w:t>kg/h，经两级活性炭吸附装置处理后非甲烷总烃有组织排放量为</w:t>
            </w:r>
            <w:r>
              <w:rPr>
                <w:rFonts w:hint="eastAsia"/>
                <w:b w:val="0"/>
                <w:bCs w:val="0"/>
                <w:szCs w:val="21"/>
                <w:lang w:val="en-US" w:eastAsia="zh-CN"/>
              </w:rPr>
              <w:t>0.1125</w:t>
            </w:r>
            <w:r>
              <w:rPr>
                <w:rFonts w:hint="eastAsia"/>
                <w:b w:val="0"/>
                <w:bCs w:val="0"/>
                <w:szCs w:val="21"/>
              </w:rPr>
              <w:t>×（</w:t>
            </w:r>
            <w:r>
              <w:rPr>
                <w:rFonts w:hint="eastAsia"/>
                <w:b w:val="0"/>
                <w:bCs w:val="0"/>
                <w:szCs w:val="21"/>
                <w:lang w:val="en-US" w:eastAsia="zh-CN"/>
              </w:rPr>
              <w:t>10</w:t>
            </w:r>
            <w:r>
              <w:rPr>
                <w:rFonts w:hint="eastAsia"/>
                <w:b w:val="0"/>
                <w:bCs w:val="0"/>
                <w:szCs w:val="21"/>
              </w:rPr>
              <w:t>%）=</w:t>
            </w:r>
            <w:r>
              <w:rPr>
                <w:rFonts w:hint="eastAsia"/>
                <w:b w:val="0"/>
                <w:bCs w:val="0"/>
                <w:szCs w:val="21"/>
                <w:lang w:val="en-US" w:eastAsia="zh-CN"/>
              </w:rPr>
              <w:t>0.01125</w:t>
            </w:r>
            <w:r>
              <w:rPr>
                <w:rFonts w:hint="eastAsia"/>
                <w:b w:val="0"/>
                <w:bCs w:val="0"/>
                <w:szCs w:val="21"/>
              </w:rPr>
              <w:t>t/a，排放速率为</w:t>
            </w:r>
            <w:r>
              <w:rPr>
                <w:rFonts w:hint="eastAsia"/>
                <w:b w:val="0"/>
                <w:bCs w:val="0"/>
                <w:szCs w:val="21"/>
                <w:lang w:val="en-US" w:eastAsia="zh-CN"/>
              </w:rPr>
              <w:t>0.01125</w:t>
            </w:r>
            <w:r>
              <w:rPr>
                <w:rFonts w:hint="eastAsia"/>
                <w:b w:val="0"/>
                <w:bCs w:val="0"/>
                <w:szCs w:val="21"/>
              </w:rPr>
              <w:t>×1000/2400=</w:t>
            </w:r>
            <w:r>
              <w:rPr>
                <w:rFonts w:hint="eastAsia"/>
                <w:b w:val="0"/>
                <w:bCs w:val="0"/>
                <w:szCs w:val="21"/>
                <w:lang w:val="en-US" w:eastAsia="zh-CN"/>
              </w:rPr>
              <w:t>0.0047</w:t>
            </w:r>
            <w:r>
              <w:rPr>
                <w:rFonts w:hint="eastAsia"/>
                <w:b w:val="0"/>
                <w:bCs w:val="0"/>
                <w:szCs w:val="21"/>
              </w:rPr>
              <w:t>kg/h。</w:t>
            </w:r>
          </w:p>
          <w:p>
            <w:pPr>
              <w:spacing w:line="360" w:lineRule="auto"/>
              <w:ind w:firstLine="420" w:firstLineChars="200"/>
              <w:jc w:val="left"/>
              <w:rPr>
                <w:rFonts w:hint="eastAsia"/>
                <w:b w:val="0"/>
                <w:bCs w:val="0"/>
                <w:szCs w:val="21"/>
              </w:rPr>
            </w:pPr>
            <w:r>
              <w:rPr>
                <w:rFonts w:hint="eastAsia"/>
                <w:b w:val="0"/>
                <w:bCs w:val="0"/>
                <w:szCs w:val="21"/>
              </w:rPr>
              <w:t>未被收集处理的废气在生产车间内无组织排放，非甲烷总烃无组织排放量为</w:t>
            </w:r>
            <w:r>
              <w:rPr>
                <w:rFonts w:hint="eastAsia"/>
                <w:b w:val="0"/>
                <w:bCs w:val="0"/>
                <w:szCs w:val="21"/>
                <w:lang w:val="en-US" w:eastAsia="zh-CN"/>
              </w:rPr>
              <w:t>0.125</w:t>
            </w:r>
            <w:r>
              <w:rPr>
                <w:rFonts w:hint="eastAsia"/>
                <w:b w:val="0"/>
                <w:bCs w:val="0"/>
                <w:szCs w:val="21"/>
              </w:rPr>
              <w:t>-</w:t>
            </w:r>
            <w:r>
              <w:rPr>
                <w:rFonts w:hint="eastAsia"/>
                <w:b w:val="0"/>
                <w:bCs w:val="0"/>
                <w:szCs w:val="21"/>
                <w:lang w:val="en-US" w:eastAsia="zh-CN"/>
              </w:rPr>
              <w:t>0.1125</w:t>
            </w:r>
            <w:r>
              <w:rPr>
                <w:rFonts w:hint="eastAsia"/>
                <w:b w:val="0"/>
                <w:bCs w:val="0"/>
                <w:szCs w:val="21"/>
              </w:rPr>
              <w:t>=</w:t>
            </w:r>
            <w:r>
              <w:rPr>
                <w:rFonts w:hint="eastAsia"/>
                <w:b w:val="0"/>
                <w:bCs w:val="0"/>
                <w:szCs w:val="21"/>
                <w:lang w:val="en-US" w:eastAsia="zh-CN"/>
              </w:rPr>
              <w:t>0.0125</w:t>
            </w:r>
            <w:r>
              <w:rPr>
                <w:rFonts w:hint="eastAsia"/>
                <w:b w:val="0"/>
                <w:bCs w:val="0"/>
                <w:szCs w:val="21"/>
              </w:rPr>
              <w:t>t/a。</w:t>
            </w: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tc>
      </w:tr>
    </w:tbl>
    <w:p>
      <w:pPr>
        <w:sectPr>
          <w:pgSz w:w="11905" w:h="16838"/>
          <w:pgMar w:top="1701" w:right="1531" w:bottom="1701" w:left="1531" w:header="851" w:footer="850" w:gutter="0"/>
          <w:pgBorders>
            <w:top w:val="none" w:sz="0" w:space="0"/>
            <w:left w:val="none" w:sz="0" w:space="0"/>
            <w:bottom w:val="none" w:sz="0" w:space="0"/>
            <w:right w:val="none" w:sz="0" w:space="0"/>
          </w:pgBorders>
          <w:cols w:space="0" w:num="1"/>
          <w:rtlGutter w:val="0"/>
          <w:docGrid w:linePitch="312" w:charSpace="0"/>
        </w:sectPr>
      </w:pPr>
    </w:p>
    <w:tbl>
      <w:tblPr>
        <w:tblStyle w:val="22"/>
        <w:tblW w:w="13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4" w:hRule="atLeast"/>
        </w:trPr>
        <w:tc>
          <w:tcPr>
            <w:tcW w:w="556" w:type="dxa"/>
            <w:vAlign w:val="center"/>
          </w:tcPr>
          <w:p>
            <w:pPr>
              <w:widowControl/>
              <w:jc w:val="center"/>
              <w:rPr>
                <w:kern w:val="0"/>
                <w:szCs w:val="21"/>
                <w:lang w:bidi="ar"/>
              </w:rPr>
            </w:pPr>
            <w:r>
              <w:rPr>
                <w:kern w:val="0"/>
                <w:szCs w:val="21"/>
                <w:lang w:bidi="ar"/>
              </w:rPr>
              <w:t>运营</w:t>
            </w:r>
          </w:p>
          <w:p>
            <w:pPr>
              <w:widowControl/>
              <w:jc w:val="center"/>
              <w:rPr>
                <w:kern w:val="0"/>
                <w:szCs w:val="21"/>
                <w:lang w:bidi="ar"/>
              </w:rPr>
            </w:pPr>
            <w:r>
              <w:rPr>
                <w:kern w:val="0"/>
                <w:szCs w:val="21"/>
                <w:lang w:bidi="ar"/>
              </w:rPr>
              <w:t>期环</w:t>
            </w:r>
          </w:p>
          <w:p>
            <w:pPr>
              <w:widowControl/>
              <w:jc w:val="center"/>
              <w:rPr>
                <w:kern w:val="0"/>
                <w:szCs w:val="21"/>
                <w:lang w:bidi="ar"/>
              </w:rPr>
            </w:pPr>
            <w:r>
              <w:rPr>
                <w:kern w:val="0"/>
                <w:szCs w:val="21"/>
                <w:lang w:bidi="ar"/>
              </w:rPr>
              <w:t>境影</w:t>
            </w:r>
          </w:p>
          <w:p>
            <w:pPr>
              <w:widowControl/>
              <w:jc w:val="center"/>
              <w:rPr>
                <w:kern w:val="0"/>
                <w:szCs w:val="21"/>
                <w:lang w:bidi="ar"/>
              </w:rPr>
            </w:pPr>
            <w:r>
              <w:rPr>
                <w:kern w:val="0"/>
                <w:szCs w:val="21"/>
                <w:lang w:bidi="ar"/>
              </w:rPr>
              <w:t>响和</w:t>
            </w:r>
          </w:p>
          <w:p>
            <w:pPr>
              <w:widowControl/>
              <w:jc w:val="center"/>
              <w:rPr>
                <w:kern w:val="0"/>
                <w:szCs w:val="21"/>
                <w:lang w:bidi="ar"/>
              </w:rPr>
            </w:pPr>
            <w:r>
              <w:rPr>
                <w:kern w:val="0"/>
                <w:szCs w:val="21"/>
                <w:lang w:bidi="ar"/>
              </w:rPr>
              <w:t>保护</w:t>
            </w:r>
          </w:p>
          <w:p>
            <w:pPr>
              <w:widowControl/>
              <w:jc w:val="center"/>
            </w:pPr>
            <w:r>
              <w:rPr>
                <w:kern w:val="0"/>
                <w:szCs w:val="21"/>
                <w:lang w:bidi="ar"/>
              </w:rPr>
              <w:t>措施</w:t>
            </w:r>
          </w:p>
        </w:tc>
        <w:tc>
          <w:tcPr>
            <w:tcW w:w="13060" w:type="dxa"/>
          </w:tcPr>
          <w:p>
            <w:pPr>
              <w:spacing w:line="480" w:lineRule="exact"/>
              <w:ind w:firstLine="420" w:firstLineChars="200"/>
              <w:rPr>
                <w:szCs w:val="21"/>
              </w:rPr>
            </w:pPr>
            <w:r>
              <w:rPr>
                <w:szCs w:val="21"/>
              </w:rPr>
              <w:t>本项目有组织废气具体排放情况见下表4-7。</w:t>
            </w:r>
          </w:p>
          <w:p>
            <w:pPr>
              <w:pStyle w:val="7"/>
              <w:spacing w:line="480" w:lineRule="exact"/>
              <w:jc w:val="center"/>
              <w:rPr>
                <w:rFonts w:eastAsia="宋体"/>
                <w:b/>
                <w:bCs/>
                <w:sz w:val="18"/>
                <w:szCs w:val="18"/>
              </w:rPr>
            </w:pPr>
            <w:r>
              <w:rPr>
                <w:rFonts w:eastAsia="宋体"/>
                <w:b/>
                <w:bCs/>
                <w:sz w:val="18"/>
                <w:szCs w:val="18"/>
              </w:rPr>
              <w:t>表4-7  本项目有组织废气产生及排放情况表</w:t>
            </w:r>
          </w:p>
          <w:tbl>
            <w:tblPr>
              <w:tblStyle w:val="21"/>
              <w:tblW w:w="12742" w:type="dxa"/>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20"/>
              <w:gridCol w:w="701"/>
              <w:gridCol w:w="678"/>
              <w:gridCol w:w="638"/>
              <w:gridCol w:w="686"/>
              <w:gridCol w:w="630"/>
              <w:gridCol w:w="607"/>
              <w:gridCol w:w="699"/>
              <w:gridCol w:w="893"/>
              <w:gridCol w:w="571"/>
              <w:gridCol w:w="678"/>
              <w:gridCol w:w="765"/>
              <w:gridCol w:w="752"/>
              <w:gridCol w:w="630"/>
              <w:gridCol w:w="638"/>
              <w:gridCol w:w="630"/>
              <w:gridCol w:w="630"/>
              <w:gridCol w:w="691"/>
              <w:gridCol w:w="605"/>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0" w:type="dxa"/>
                  <w:vMerge w:val="restart"/>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排气筒</w:t>
                  </w:r>
                </w:p>
              </w:tc>
              <w:tc>
                <w:tcPr>
                  <w:tcW w:w="701" w:type="dxa"/>
                  <w:vMerge w:val="restart"/>
                  <w:noWrap w:val="0"/>
                  <w:tcMar>
                    <w:top w:w="12" w:type="dxa"/>
                    <w:left w:w="12" w:type="dxa"/>
                    <w:right w:w="12" w:type="dxa"/>
                  </w:tcMar>
                  <w:vAlign w:val="center"/>
                </w:tcPr>
                <w:p>
                  <w:pPr>
                    <w:widowControl/>
                    <w:snapToGrid w:val="0"/>
                    <w:jc w:val="center"/>
                    <w:textAlignment w:val="center"/>
                    <w:rPr>
                      <w:b/>
                      <w:kern w:val="0"/>
                      <w:sz w:val="18"/>
                      <w:szCs w:val="18"/>
                      <w:lang w:bidi="ar"/>
                    </w:rPr>
                  </w:pPr>
                  <w:r>
                    <w:rPr>
                      <w:b/>
                      <w:kern w:val="0"/>
                      <w:sz w:val="18"/>
                      <w:szCs w:val="18"/>
                      <w:lang w:bidi="ar"/>
                    </w:rPr>
                    <w:t>产污</w:t>
                  </w:r>
                </w:p>
                <w:p>
                  <w:pPr>
                    <w:widowControl/>
                    <w:snapToGrid w:val="0"/>
                    <w:jc w:val="center"/>
                    <w:textAlignment w:val="center"/>
                    <w:rPr>
                      <w:b/>
                      <w:sz w:val="18"/>
                      <w:szCs w:val="18"/>
                    </w:rPr>
                  </w:pPr>
                  <w:r>
                    <w:rPr>
                      <w:b/>
                      <w:kern w:val="0"/>
                      <w:sz w:val="18"/>
                      <w:szCs w:val="18"/>
                      <w:lang w:bidi="ar"/>
                    </w:rPr>
                    <w:t>环节</w:t>
                  </w:r>
                </w:p>
              </w:tc>
              <w:tc>
                <w:tcPr>
                  <w:tcW w:w="678" w:type="dxa"/>
                  <w:vMerge w:val="restart"/>
                  <w:noWrap w:val="0"/>
                  <w:tcMar>
                    <w:top w:w="12" w:type="dxa"/>
                    <w:left w:w="12" w:type="dxa"/>
                    <w:right w:w="12" w:type="dxa"/>
                  </w:tcMar>
                  <w:vAlign w:val="center"/>
                </w:tcPr>
                <w:p>
                  <w:pPr>
                    <w:widowControl/>
                    <w:snapToGrid w:val="0"/>
                    <w:jc w:val="center"/>
                    <w:textAlignment w:val="center"/>
                    <w:rPr>
                      <w:b/>
                      <w:kern w:val="0"/>
                      <w:sz w:val="18"/>
                      <w:szCs w:val="18"/>
                      <w:lang w:bidi="ar"/>
                    </w:rPr>
                  </w:pPr>
                  <w:r>
                    <w:rPr>
                      <w:b/>
                      <w:kern w:val="0"/>
                      <w:sz w:val="18"/>
                      <w:szCs w:val="18"/>
                      <w:lang w:bidi="ar"/>
                    </w:rPr>
                    <w:t>废气</w:t>
                  </w:r>
                </w:p>
                <w:p>
                  <w:pPr>
                    <w:widowControl/>
                    <w:snapToGrid w:val="0"/>
                    <w:jc w:val="center"/>
                    <w:textAlignment w:val="center"/>
                    <w:rPr>
                      <w:b/>
                      <w:sz w:val="18"/>
                      <w:szCs w:val="18"/>
                    </w:rPr>
                  </w:pPr>
                  <w:r>
                    <w:rPr>
                      <w:b/>
                      <w:kern w:val="0"/>
                      <w:sz w:val="18"/>
                      <w:szCs w:val="18"/>
                      <w:lang w:bidi="ar"/>
                    </w:rPr>
                    <w:t>编号</w:t>
                  </w:r>
                </w:p>
              </w:tc>
              <w:tc>
                <w:tcPr>
                  <w:tcW w:w="638" w:type="dxa"/>
                  <w:vMerge w:val="restart"/>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废气量</w:t>
                  </w:r>
                  <w:r>
                    <w:rPr>
                      <w:rStyle w:val="56"/>
                      <w:b/>
                      <w:bCs/>
                      <w:color w:val="auto"/>
                      <w:sz w:val="18"/>
                      <w:szCs w:val="18"/>
                      <w:vertAlign w:val="baseline"/>
                      <w:lang w:bidi="ar"/>
                    </w:rPr>
                    <w:t>m</w:t>
                  </w:r>
                  <w:r>
                    <w:rPr>
                      <w:rStyle w:val="56"/>
                      <w:b/>
                      <w:bCs/>
                      <w:color w:val="auto"/>
                      <w:sz w:val="18"/>
                      <w:szCs w:val="18"/>
                      <w:vertAlign w:val="superscript"/>
                      <w:lang w:bidi="ar"/>
                    </w:rPr>
                    <w:t>3</w:t>
                  </w:r>
                  <w:r>
                    <w:rPr>
                      <w:rStyle w:val="56"/>
                      <w:b/>
                      <w:bCs/>
                      <w:color w:val="auto"/>
                      <w:sz w:val="18"/>
                      <w:szCs w:val="18"/>
                      <w:vertAlign w:val="baseline"/>
                      <w:lang w:bidi="ar"/>
                    </w:rPr>
                    <w:t>/h</w:t>
                  </w:r>
                </w:p>
              </w:tc>
              <w:tc>
                <w:tcPr>
                  <w:tcW w:w="686" w:type="dxa"/>
                  <w:vMerge w:val="restart"/>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污染物名称</w:t>
                  </w:r>
                </w:p>
              </w:tc>
              <w:tc>
                <w:tcPr>
                  <w:tcW w:w="1936" w:type="dxa"/>
                  <w:gridSpan w:val="3"/>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产生情况</w:t>
                  </w:r>
                </w:p>
              </w:tc>
              <w:tc>
                <w:tcPr>
                  <w:tcW w:w="893" w:type="dxa"/>
                  <w:vMerge w:val="restart"/>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治理措施</w:t>
                  </w:r>
                </w:p>
              </w:tc>
              <w:tc>
                <w:tcPr>
                  <w:tcW w:w="571" w:type="dxa"/>
                  <w:vMerge w:val="restart"/>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去除率</w:t>
                  </w:r>
                </w:p>
              </w:tc>
              <w:tc>
                <w:tcPr>
                  <w:tcW w:w="2195" w:type="dxa"/>
                  <w:gridSpan w:val="3"/>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排放情况</w:t>
                  </w:r>
                </w:p>
              </w:tc>
              <w:tc>
                <w:tcPr>
                  <w:tcW w:w="1268" w:type="dxa"/>
                  <w:gridSpan w:val="2"/>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执行标准</w:t>
                  </w:r>
                </w:p>
              </w:tc>
              <w:tc>
                <w:tcPr>
                  <w:tcW w:w="1951" w:type="dxa"/>
                  <w:gridSpan w:val="3"/>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排气筒参数</w:t>
                  </w:r>
                </w:p>
              </w:tc>
              <w:tc>
                <w:tcPr>
                  <w:tcW w:w="605" w:type="dxa"/>
                  <w:vMerge w:val="restart"/>
                  <w:noWrap w:val="0"/>
                  <w:tcMar>
                    <w:top w:w="12" w:type="dxa"/>
                    <w:left w:w="12" w:type="dxa"/>
                    <w:right w:w="12" w:type="dxa"/>
                  </w:tcMar>
                  <w:vAlign w:val="center"/>
                </w:tcPr>
                <w:p>
                  <w:pPr>
                    <w:widowControl/>
                    <w:snapToGrid w:val="0"/>
                    <w:jc w:val="center"/>
                    <w:textAlignment w:val="center"/>
                    <w:rPr>
                      <w:b/>
                      <w:kern w:val="0"/>
                      <w:sz w:val="18"/>
                      <w:szCs w:val="18"/>
                      <w:lang w:bidi="ar"/>
                    </w:rPr>
                  </w:pPr>
                  <w:r>
                    <w:rPr>
                      <w:b/>
                      <w:kern w:val="0"/>
                      <w:sz w:val="18"/>
                      <w:szCs w:val="18"/>
                      <w:lang w:bidi="ar"/>
                    </w:rPr>
                    <w:t>排放</w:t>
                  </w:r>
                </w:p>
                <w:p>
                  <w:pPr>
                    <w:widowControl/>
                    <w:snapToGrid w:val="0"/>
                    <w:jc w:val="center"/>
                    <w:textAlignment w:val="center"/>
                    <w:rPr>
                      <w:b/>
                      <w:sz w:val="18"/>
                      <w:szCs w:val="18"/>
                    </w:rPr>
                  </w:pPr>
                  <w:r>
                    <w:rPr>
                      <w:b/>
                      <w:kern w:val="0"/>
                      <w:sz w:val="18"/>
                      <w:szCs w:val="18"/>
                      <w:lang w:bidi="ar"/>
                    </w:rPr>
                    <w:t>方式</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0" w:type="dxa"/>
                  <w:vMerge w:val="continue"/>
                  <w:noWrap w:val="0"/>
                  <w:tcMar>
                    <w:top w:w="12" w:type="dxa"/>
                    <w:left w:w="12" w:type="dxa"/>
                    <w:right w:w="12" w:type="dxa"/>
                  </w:tcMar>
                  <w:vAlign w:val="center"/>
                </w:tcPr>
                <w:p>
                  <w:pPr>
                    <w:widowControl/>
                    <w:snapToGrid w:val="0"/>
                    <w:jc w:val="center"/>
                    <w:rPr>
                      <w:b/>
                      <w:sz w:val="18"/>
                      <w:szCs w:val="18"/>
                    </w:rPr>
                  </w:pPr>
                </w:p>
              </w:tc>
              <w:tc>
                <w:tcPr>
                  <w:tcW w:w="701" w:type="dxa"/>
                  <w:vMerge w:val="continue"/>
                  <w:noWrap w:val="0"/>
                  <w:tcMar>
                    <w:top w:w="12" w:type="dxa"/>
                    <w:left w:w="12" w:type="dxa"/>
                    <w:right w:w="12" w:type="dxa"/>
                  </w:tcMar>
                  <w:vAlign w:val="center"/>
                </w:tcPr>
                <w:p>
                  <w:pPr>
                    <w:widowControl/>
                    <w:snapToGrid w:val="0"/>
                    <w:jc w:val="center"/>
                    <w:rPr>
                      <w:b/>
                      <w:sz w:val="18"/>
                      <w:szCs w:val="18"/>
                    </w:rPr>
                  </w:pPr>
                </w:p>
              </w:tc>
              <w:tc>
                <w:tcPr>
                  <w:tcW w:w="678" w:type="dxa"/>
                  <w:vMerge w:val="continue"/>
                  <w:noWrap w:val="0"/>
                  <w:tcMar>
                    <w:top w:w="12" w:type="dxa"/>
                    <w:left w:w="12" w:type="dxa"/>
                    <w:right w:w="12" w:type="dxa"/>
                  </w:tcMar>
                  <w:vAlign w:val="center"/>
                </w:tcPr>
                <w:p>
                  <w:pPr>
                    <w:widowControl/>
                    <w:snapToGrid w:val="0"/>
                    <w:jc w:val="center"/>
                    <w:rPr>
                      <w:b/>
                      <w:sz w:val="18"/>
                      <w:szCs w:val="18"/>
                    </w:rPr>
                  </w:pPr>
                </w:p>
              </w:tc>
              <w:tc>
                <w:tcPr>
                  <w:tcW w:w="638" w:type="dxa"/>
                  <w:vMerge w:val="continue"/>
                  <w:noWrap w:val="0"/>
                  <w:tcMar>
                    <w:top w:w="12" w:type="dxa"/>
                    <w:left w:w="12" w:type="dxa"/>
                    <w:right w:w="12" w:type="dxa"/>
                  </w:tcMar>
                  <w:vAlign w:val="center"/>
                </w:tcPr>
                <w:p>
                  <w:pPr>
                    <w:widowControl/>
                    <w:snapToGrid w:val="0"/>
                    <w:jc w:val="center"/>
                    <w:rPr>
                      <w:b/>
                      <w:sz w:val="18"/>
                      <w:szCs w:val="18"/>
                    </w:rPr>
                  </w:pPr>
                </w:p>
              </w:tc>
              <w:tc>
                <w:tcPr>
                  <w:tcW w:w="686" w:type="dxa"/>
                  <w:vMerge w:val="continue"/>
                  <w:noWrap w:val="0"/>
                  <w:tcMar>
                    <w:top w:w="12" w:type="dxa"/>
                    <w:left w:w="12" w:type="dxa"/>
                    <w:right w:w="12" w:type="dxa"/>
                  </w:tcMar>
                  <w:vAlign w:val="center"/>
                </w:tcPr>
                <w:p>
                  <w:pPr>
                    <w:widowControl/>
                    <w:snapToGrid w:val="0"/>
                    <w:jc w:val="center"/>
                    <w:rPr>
                      <w:b/>
                      <w:sz w:val="18"/>
                      <w:szCs w:val="18"/>
                    </w:rPr>
                  </w:pPr>
                </w:p>
              </w:tc>
              <w:tc>
                <w:tcPr>
                  <w:tcW w:w="630" w:type="dxa"/>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浓度</w:t>
                  </w:r>
                  <w:r>
                    <w:rPr>
                      <w:rStyle w:val="56"/>
                      <w:b/>
                      <w:color w:val="auto"/>
                      <w:sz w:val="18"/>
                      <w:szCs w:val="18"/>
                      <w:vertAlign w:val="baseline"/>
                      <w:lang w:bidi="ar"/>
                    </w:rPr>
                    <w:t>mg/m</w:t>
                  </w:r>
                  <w:r>
                    <w:rPr>
                      <w:rStyle w:val="57"/>
                      <w:rFonts w:hint="default" w:ascii="Times New Roman" w:hAnsi="Times New Roman" w:cs="Times New Roman"/>
                      <w:color w:val="auto"/>
                      <w:sz w:val="18"/>
                      <w:szCs w:val="18"/>
                      <w:lang w:bidi="ar"/>
                    </w:rPr>
                    <w:t>3</w:t>
                  </w:r>
                </w:p>
              </w:tc>
              <w:tc>
                <w:tcPr>
                  <w:tcW w:w="607" w:type="dxa"/>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速率</w:t>
                  </w:r>
                  <w:r>
                    <w:rPr>
                      <w:rStyle w:val="56"/>
                      <w:b/>
                      <w:color w:val="auto"/>
                      <w:sz w:val="18"/>
                      <w:szCs w:val="18"/>
                      <w:vertAlign w:val="baseline"/>
                      <w:lang w:bidi="ar"/>
                    </w:rPr>
                    <w:t>kg/h</w:t>
                  </w:r>
                </w:p>
              </w:tc>
              <w:tc>
                <w:tcPr>
                  <w:tcW w:w="699" w:type="dxa"/>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产生量</w:t>
                  </w:r>
                  <w:r>
                    <w:rPr>
                      <w:rStyle w:val="56"/>
                      <w:b/>
                      <w:color w:val="auto"/>
                      <w:sz w:val="18"/>
                      <w:szCs w:val="18"/>
                      <w:vertAlign w:val="baseline"/>
                      <w:lang w:bidi="ar"/>
                    </w:rPr>
                    <w:t>t/a</w:t>
                  </w:r>
                </w:p>
              </w:tc>
              <w:tc>
                <w:tcPr>
                  <w:tcW w:w="893" w:type="dxa"/>
                  <w:vMerge w:val="continue"/>
                  <w:noWrap w:val="0"/>
                  <w:tcMar>
                    <w:top w:w="12" w:type="dxa"/>
                    <w:left w:w="12" w:type="dxa"/>
                    <w:right w:w="12" w:type="dxa"/>
                  </w:tcMar>
                  <w:vAlign w:val="center"/>
                </w:tcPr>
                <w:p>
                  <w:pPr>
                    <w:widowControl/>
                    <w:snapToGrid w:val="0"/>
                    <w:jc w:val="center"/>
                    <w:rPr>
                      <w:b/>
                      <w:sz w:val="18"/>
                      <w:szCs w:val="18"/>
                    </w:rPr>
                  </w:pPr>
                </w:p>
              </w:tc>
              <w:tc>
                <w:tcPr>
                  <w:tcW w:w="571" w:type="dxa"/>
                  <w:vMerge w:val="continue"/>
                  <w:noWrap w:val="0"/>
                  <w:tcMar>
                    <w:top w:w="12" w:type="dxa"/>
                    <w:left w:w="12" w:type="dxa"/>
                    <w:right w:w="12" w:type="dxa"/>
                  </w:tcMar>
                  <w:vAlign w:val="center"/>
                </w:tcPr>
                <w:p>
                  <w:pPr>
                    <w:widowControl/>
                    <w:snapToGrid w:val="0"/>
                    <w:jc w:val="center"/>
                    <w:rPr>
                      <w:b/>
                      <w:sz w:val="18"/>
                      <w:szCs w:val="18"/>
                    </w:rPr>
                  </w:pPr>
                </w:p>
              </w:tc>
              <w:tc>
                <w:tcPr>
                  <w:tcW w:w="678" w:type="dxa"/>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浓度</w:t>
                  </w:r>
                  <w:r>
                    <w:rPr>
                      <w:rStyle w:val="56"/>
                      <w:b/>
                      <w:color w:val="auto"/>
                      <w:sz w:val="18"/>
                      <w:szCs w:val="18"/>
                      <w:vertAlign w:val="baseline"/>
                      <w:lang w:bidi="ar"/>
                    </w:rPr>
                    <w:t>mg/m</w:t>
                  </w:r>
                  <w:r>
                    <w:rPr>
                      <w:rStyle w:val="57"/>
                      <w:rFonts w:hint="default" w:ascii="Times New Roman" w:hAnsi="Times New Roman" w:cs="Times New Roman"/>
                      <w:color w:val="auto"/>
                      <w:sz w:val="18"/>
                      <w:szCs w:val="18"/>
                      <w:lang w:bidi="ar"/>
                    </w:rPr>
                    <w:t>3</w:t>
                  </w:r>
                </w:p>
              </w:tc>
              <w:tc>
                <w:tcPr>
                  <w:tcW w:w="765" w:type="dxa"/>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速率</w:t>
                  </w:r>
                  <w:r>
                    <w:rPr>
                      <w:rStyle w:val="56"/>
                      <w:b/>
                      <w:color w:val="auto"/>
                      <w:sz w:val="18"/>
                      <w:szCs w:val="18"/>
                      <w:vertAlign w:val="baseline"/>
                      <w:lang w:bidi="ar"/>
                    </w:rPr>
                    <w:t>kg/h</w:t>
                  </w:r>
                </w:p>
              </w:tc>
              <w:tc>
                <w:tcPr>
                  <w:tcW w:w="752" w:type="dxa"/>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排放量</w:t>
                  </w:r>
                  <w:r>
                    <w:rPr>
                      <w:rStyle w:val="56"/>
                      <w:b/>
                      <w:color w:val="auto"/>
                      <w:sz w:val="18"/>
                      <w:szCs w:val="18"/>
                      <w:vertAlign w:val="baseline"/>
                      <w:lang w:bidi="ar"/>
                    </w:rPr>
                    <w:t>t/a</w:t>
                  </w:r>
                </w:p>
              </w:tc>
              <w:tc>
                <w:tcPr>
                  <w:tcW w:w="630" w:type="dxa"/>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浓度</w:t>
                  </w:r>
                  <w:r>
                    <w:rPr>
                      <w:rStyle w:val="56"/>
                      <w:b/>
                      <w:color w:val="auto"/>
                      <w:sz w:val="18"/>
                      <w:szCs w:val="18"/>
                      <w:vertAlign w:val="baseline"/>
                      <w:lang w:bidi="ar"/>
                    </w:rPr>
                    <w:t>mg/m</w:t>
                  </w:r>
                  <w:r>
                    <w:rPr>
                      <w:rStyle w:val="57"/>
                      <w:rFonts w:hint="default" w:ascii="Times New Roman" w:hAnsi="Times New Roman" w:cs="Times New Roman"/>
                      <w:color w:val="auto"/>
                      <w:sz w:val="18"/>
                      <w:szCs w:val="18"/>
                      <w:lang w:bidi="ar"/>
                    </w:rPr>
                    <w:t>3</w:t>
                  </w:r>
                </w:p>
              </w:tc>
              <w:tc>
                <w:tcPr>
                  <w:tcW w:w="638" w:type="dxa"/>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速率</w:t>
                  </w:r>
                  <w:r>
                    <w:rPr>
                      <w:rStyle w:val="56"/>
                      <w:b/>
                      <w:color w:val="auto"/>
                      <w:sz w:val="18"/>
                      <w:szCs w:val="18"/>
                      <w:vertAlign w:val="baseline"/>
                      <w:lang w:bidi="ar"/>
                    </w:rPr>
                    <w:t>kg/h</w:t>
                  </w:r>
                </w:p>
              </w:tc>
              <w:tc>
                <w:tcPr>
                  <w:tcW w:w="630" w:type="dxa"/>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高度</w:t>
                  </w:r>
                  <w:r>
                    <w:rPr>
                      <w:rStyle w:val="56"/>
                      <w:color w:val="auto"/>
                      <w:sz w:val="18"/>
                      <w:szCs w:val="18"/>
                      <w:vertAlign w:val="baseline"/>
                      <w:lang w:bidi="ar"/>
                    </w:rPr>
                    <w:t>m</w:t>
                  </w:r>
                </w:p>
              </w:tc>
              <w:tc>
                <w:tcPr>
                  <w:tcW w:w="630" w:type="dxa"/>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直径</w:t>
                  </w:r>
                  <w:r>
                    <w:rPr>
                      <w:rStyle w:val="56"/>
                      <w:color w:val="auto"/>
                      <w:sz w:val="18"/>
                      <w:szCs w:val="18"/>
                      <w:vertAlign w:val="baseline"/>
                      <w:lang w:bidi="ar"/>
                    </w:rPr>
                    <w:t>m</w:t>
                  </w:r>
                </w:p>
              </w:tc>
              <w:tc>
                <w:tcPr>
                  <w:tcW w:w="691" w:type="dxa"/>
                  <w:noWrap w:val="0"/>
                  <w:tcMar>
                    <w:top w:w="12" w:type="dxa"/>
                    <w:left w:w="12" w:type="dxa"/>
                    <w:right w:w="12" w:type="dxa"/>
                  </w:tcMar>
                  <w:vAlign w:val="center"/>
                </w:tcPr>
                <w:p>
                  <w:pPr>
                    <w:widowControl/>
                    <w:snapToGrid w:val="0"/>
                    <w:jc w:val="center"/>
                    <w:textAlignment w:val="center"/>
                    <w:rPr>
                      <w:b/>
                      <w:sz w:val="18"/>
                      <w:szCs w:val="18"/>
                    </w:rPr>
                  </w:pPr>
                  <w:r>
                    <w:rPr>
                      <w:b/>
                      <w:kern w:val="0"/>
                      <w:sz w:val="18"/>
                      <w:szCs w:val="18"/>
                      <w:lang w:bidi="ar"/>
                    </w:rPr>
                    <w:t>温度℃</w:t>
                  </w:r>
                </w:p>
              </w:tc>
              <w:tc>
                <w:tcPr>
                  <w:tcW w:w="605" w:type="dxa"/>
                  <w:vMerge w:val="continue"/>
                  <w:noWrap w:val="0"/>
                  <w:tcMar>
                    <w:top w:w="12" w:type="dxa"/>
                    <w:left w:w="12" w:type="dxa"/>
                    <w:right w:w="12" w:type="dxa"/>
                  </w:tcMar>
                  <w:vAlign w:val="center"/>
                </w:tcPr>
                <w:p>
                  <w:pPr>
                    <w:widowControl/>
                    <w:snapToGrid w:val="0"/>
                    <w:jc w:val="center"/>
                    <w:rPr>
                      <w:b/>
                      <w:sz w:val="18"/>
                      <w:szCs w:val="18"/>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20" w:type="dxa"/>
                  <w:noWrap w:val="0"/>
                  <w:tcMar>
                    <w:top w:w="12" w:type="dxa"/>
                    <w:left w:w="12" w:type="dxa"/>
                    <w:right w:w="12" w:type="dxa"/>
                  </w:tcMar>
                  <w:vAlign w:val="center"/>
                </w:tcPr>
                <w:p>
                  <w:pPr>
                    <w:widowControl/>
                    <w:snapToGrid w:val="0"/>
                    <w:jc w:val="center"/>
                    <w:textAlignment w:val="center"/>
                    <w:rPr>
                      <w:sz w:val="18"/>
                      <w:szCs w:val="18"/>
                    </w:rPr>
                  </w:pPr>
                  <w:r>
                    <w:rPr>
                      <w:kern w:val="0"/>
                      <w:sz w:val="18"/>
                      <w:szCs w:val="18"/>
                      <w:lang w:bidi="ar"/>
                    </w:rPr>
                    <w:t>DA001</w:t>
                  </w:r>
                </w:p>
              </w:tc>
              <w:tc>
                <w:tcPr>
                  <w:tcW w:w="701" w:type="dxa"/>
                  <w:noWrap w:val="0"/>
                  <w:tcMar>
                    <w:top w:w="12" w:type="dxa"/>
                    <w:left w:w="12" w:type="dxa"/>
                    <w:right w:w="12" w:type="dxa"/>
                  </w:tcMar>
                  <w:vAlign w:val="center"/>
                </w:tcPr>
                <w:p>
                  <w:pPr>
                    <w:widowControl/>
                    <w:snapToGrid w:val="0"/>
                    <w:jc w:val="center"/>
                    <w:textAlignment w:val="center"/>
                    <w:rPr>
                      <w:sz w:val="18"/>
                      <w:szCs w:val="18"/>
                    </w:rPr>
                  </w:pPr>
                  <w:r>
                    <w:rPr>
                      <w:rFonts w:hint="eastAsia"/>
                      <w:sz w:val="18"/>
                      <w:szCs w:val="18"/>
                    </w:rPr>
                    <w:t>吹塑、</w:t>
                  </w:r>
                  <w:r>
                    <w:rPr>
                      <w:rFonts w:hint="eastAsia"/>
                      <w:sz w:val="18"/>
                      <w:szCs w:val="18"/>
                      <w:lang w:val="en-US" w:eastAsia="zh-CN"/>
                    </w:rPr>
                    <w:t>制袋、烫袋</w:t>
                  </w:r>
                </w:p>
              </w:tc>
              <w:tc>
                <w:tcPr>
                  <w:tcW w:w="678" w:type="dxa"/>
                  <w:noWrap w:val="0"/>
                  <w:tcMar>
                    <w:top w:w="12" w:type="dxa"/>
                    <w:left w:w="12" w:type="dxa"/>
                    <w:right w:w="12" w:type="dxa"/>
                  </w:tcMar>
                  <w:vAlign w:val="center"/>
                </w:tcPr>
                <w:p>
                  <w:pPr>
                    <w:widowControl/>
                    <w:snapToGrid w:val="0"/>
                    <w:jc w:val="center"/>
                    <w:textAlignment w:val="center"/>
                    <w:rPr>
                      <w:rFonts w:hint="eastAsia" w:eastAsia="宋体"/>
                      <w:sz w:val="18"/>
                      <w:szCs w:val="18"/>
                      <w:lang w:eastAsia="zh-CN"/>
                    </w:rPr>
                  </w:pPr>
                  <w:r>
                    <w:rPr>
                      <w:sz w:val="18"/>
                      <w:szCs w:val="18"/>
                    </w:rPr>
                    <w:t>G</w:t>
                  </w:r>
                  <w:r>
                    <w:rPr>
                      <w:sz w:val="18"/>
                      <w:szCs w:val="18"/>
                      <w:vertAlign w:val="subscript"/>
                    </w:rPr>
                    <w:t>1</w:t>
                  </w:r>
                  <w:r>
                    <w:rPr>
                      <w:sz w:val="18"/>
                      <w:szCs w:val="18"/>
                    </w:rPr>
                    <w:t>、G</w:t>
                  </w:r>
                  <w:r>
                    <w:rPr>
                      <w:rFonts w:hint="eastAsia"/>
                      <w:sz w:val="18"/>
                      <w:szCs w:val="18"/>
                      <w:lang w:val="en-US" w:eastAsia="zh-CN"/>
                    </w:rPr>
                    <w:t>2</w:t>
                  </w:r>
                </w:p>
              </w:tc>
              <w:tc>
                <w:tcPr>
                  <w:tcW w:w="638" w:type="dxa"/>
                  <w:noWrap w:val="0"/>
                  <w:tcMar>
                    <w:top w:w="12" w:type="dxa"/>
                    <w:left w:w="12" w:type="dxa"/>
                    <w:right w:w="12" w:type="dxa"/>
                  </w:tcMar>
                  <w:vAlign w:val="center"/>
                </w:tcPr>
                <w:p>
                  <w:pPr>
                    <w:widowControl/>
                    <w:snapToGrid w:val="0"/>
                    <w:jc w:val="center"/>
                    <w:textAlignment w:val="center"/>
                    <w:rPr>
                      <w:rFonts w:hint="default" w:eastAsia="宋体"/>
                      <w:sz w:val="18"/>
                      <w:szCs w:val="18"/>
                      <w:lang w:val="en-US" w:eastAsia="zh-CN"/>
                    </w:rPr>
                  </w:pPr>
                  <w:r>
                    <w:rPr>
                      <w:rFonts w:hint="eastAsia"/>
                      <w:color w:val="000000" w:themeColor="text1"/>
                      <w:sz w:val="18"/>
                      <w:szCs w:val="18"/>
                      <w:lang w:val="en-US" w:eastAsia="zh-CN"/>
                      <w14:textFill>
                        <w14:solidFill>
                          <w14:schemeClr w14:val="tx1"/>
                        </w14:solidFill>
                      </w14:textFill>
                    </w:rPr>
                    <w:t>3000</w:t>
                  </w:r>
                </w:p>
              </w:tc>
              <w:tc>
                <w:tcPr>
                  <w:tcW w:w="686" w:type="dxa"/>
                  <w:noWrap w:val="0"/>
                  <w:tcMar>
                    <w:top w:w="12" w:type="dxa"/>
                    <w:left w:w="12" w:type="dxa"/>
                    <w:right w:w="12" w:type="dxa"/>
                  </w:tcMar>
                  <w:vAlign w:val="center"/>
                </w:tcPr>
                <w:p>
                  <w:pPr>
                    <w:widowControl/>
                    <w:snapToGrid w:val="0"/>
                    <w:jc w:val="center"/>
                    <w:textAlignment w:val="center"/>
                    <w:rPr>
                      <w:sz w:val="18"/>
                      <w:szCs w:val="18"/>
                    </w:rPr>
                  </w:pPr>
                  <w:r>
                    <w:rPr>
                      <w:sz w:val="18"/>
                      <w:szCs w:val="18"/>
                    </w:rPr>
                    <w:t>非甲烷总烃</w:t>
                  </w:r>
                </w:p>
              </w:tc>
              <w:tc>
                <w:tcPr>
                  <w:tcW w:w="630" w:type="dxa"/>
                  <w:noWrap w:val="0"/>
                  <w:tcMar>
                    <w:top w:w="12" w:type="dxa"/>
                    <w:left w:w="12" w:type="dxa"/>
                    <w:right w:w="12" w:type="dxa"/>
                  </w:tcMar>
                  <w:vAlign w:val="center"/>
                </w:tcPr>
                <w:p>
                  <w:pPr>
                    <w:widowControl/>
                    <w:jc w:val="center"/>
                    <w:textAlignment w:val="center"/>
                    <w:rPr>
                      <w:rFonts w:hint="default" w:eastAsia="宋体"/>
                      <w:sz w:val="18"/>
                      <w:szCs w:val="18"/>
                      <w:lang w:val="en-US" w:eastAsia="zh-CN"/>
                    </w:rPr>
                  </w:pPr>
                  <w:r>
                    <w:rPr>
                      <w:rFonts w:hint="eastAsia"/>
                      <w:sz w:val="18"/>
                      <w:szCs w:val="18"/>
                      <w:lang w:val="en-US" w:eastAsia="zh-CN"/>
                    </w:rPr>
                    <w:t>15.7</w:t>
                  </w:r>
                </w:p>
              </w:tc>
              <w:tc>
                <w:tcPr>
                  <w:tcW w:w="607" w:type="dxa"/>
                  <w:noWrap w:val="0"/>
                  <w:tcMar>
                    <w:top w:w="12" w:type="dxa"/>
                    <w:left w:w="12" w:type="dxa"/>
                    <w:right w:w="12" w:type="dxa"/>
                  </w:tcMar>
                  <w:vAlign w:val="center"/>
                </w:tcPr>
                <w:p>
                  <w:pPr>
                    <w:widowControl/>
                    <w:jc w:val="center"/>
                    <w:textAlignment w:val="center"/>
                    <w:rPr>
                      <w:sz w:val="18"/>
                      <w:szCs w:val="18"/>
                    </w:rPr>
                  </w:pPr>
                  <w:r>
                    <w:rPr>
                      <w:rFonts w:hint="eastAsia"/>
                      <w:sz w:val="18"/>
                      <w:szCs w:val="18"/>
                      <w:lang w:val="en-US" w:eastAsia="zh-CN"/>
                    </w:rPr>
                    <w:t>0.047</w:t>
                  </w:r>
                </w:p>
              </w:tc>
              <w:tc>
                <w:tcPr>
                  <w:tcW w:w="699" w:type="dxa"/>
                  <w:noWrap w:val="0"/>
                  <w:tcMar>
                    <w:top w:w="12" w:type="dxa"/>
                    <w:left w:w="12" w:type="dxa"/>
                    <w:right w:w="12" w:type="dxa"/>
                  </w:tcMar>
                  <w:vAlign w:val="center"/>
                </w:tcPr>
                <w:p>
                  <w:pPr>
                    <w:widowControl/>
                    <w:jc w:val="center"/>
                    <w:textAlignment w:val="center"/>
                    <w:rPr>
                      <w:sz w:val="18"/>
                      <w:szCs w:val="18"/>
                    </w:rPr>
                  </w:pPr>
                  <w:r>
                    <w:rPr>
                      <w:rFonts w:hint="eastAsia"/>
                      <w:sz w:val="18"/>
                      <w:szCs w:val="18"/>
                      <w:lang w:val="en-US" w:eastAsia="zh-CN"/>
                    </w:rPr>
                    <w:t>0.1125</w:t>
                  </w:r>
                </w:p>
              </w:tc>
              <w:tc>
                <w:tcPr>
                  <w:tcW w:w="893" w:type="dxa"/>
                  <w:noWrap w:val="0"/>
                  <w:tcMar>
                    <w:top w:w="12" w:type="dxa"/>
                    <w:left w:w="12" w:type="dxa"/>
                    <w:right w:w="12" w:type="dxa"/>
                  </w:tcMar>
                  <w:vAlign w:val="center"/>
                </w:tcPr>
                <w:p>
                  <w:pPr>
                    <w:widowControl/>
                    <w:snapToGrid w:val="0"/>
                    <w:jc w:val="center"/>
                    <w:textAlignment w:val="center"/>
                    <w:rPr>
                      <w:sz w:val="18"/>
                      <w:szCs w:val="18"/>
                    </w:rPr>
                  </w:pPr>
                  <w:r>
                    <w:rPr>
                      <w:rFonts w:hint="eastAsia"/>
                      <w:sz w:val="18"/>
                      <w:szCs w:val="18"/>
                      <w:lang w:val="en-US" w:eastAsia="zh-CN"/>
                    </w:rPr>
                    <w:t>二级</w:t>
                  </w:r>
                  <w:r>
                    <w:rPr>
                      <w:sz w:val="18"/>
                      <w:szCs w:val="18"/>
                    </w:rPr>
                    <w:t>活性炭吸附装置</w:t>
                  </w:r>
                </w:p>
              </w:tc>
              <w:tc>
                <w:tcPr>
                  <w:tcW w:w="571" w:type="dxa"/>
                  <w:noWrap w:val="0"/>
                  <w:tcMar>
                    <w:top w:w="12" w:type="dxa"/>
                    <w:left w:w="12" w:type="dxa"/>
                    <w:right w:w="12" w:type="dxa"/>
                  </w:tcMar>
                  <w:vAlign w:val="center"/>
                </w:tcPr>
                <w:p>
                  <w:pPr>
                    <w:widowControl/>
                    <w:snapToGrid w:val="0"/>
                    <w:jc w:val="center"/>
                    <w:textAlignment w:val="center"/>
                    <w:rPr>
                      <w:sz w:val="18"/>
                      <w:szCs w:val="18"/>
                    </w:rPr>
                  </w:pPr>
                  <w:r>
                    <w:rPr>
                      <w:sz w:val="18"/>
                      <w:szCs w:val="18"/>
                    </w:rPr>
                    <w:t>90%</w:t>
                  </w:r>
                </w:p>
              </w:tc>
              <w:tc>
                <w:tcPr>
                  <w:tcW w:w="678" w:type="dxa"/>
                  <w:noWrap w:val="0"/>
                  <w:tcMar>
                    <w:top w:w="12" w:type="dxa"/>
                    <w:left w:w="12" w:type="dxa"/>
                    <w:right w:w="12" w:type="dxa"/>
                  </w:tcMar>
                  <w:vAlign w:val="center"/>
                </w:tcPr>
                <w:p>
                  <w:pPr>
                    <w:widowControl/>
                    <w:jc w:val="center"/>
                    <w:textAlignment w:val="center"/>
                    <w:rPr>
                      <w:rFonts w:hint="default" w:eastAsia="宋体"/>
                      <w:sz w:val="18"/>
                      <w:szCs w:val="18"/>
                      <w:lang w:val="en-US" w:eastAsia="zh-CN"/>
                    </w:rPr>
                  </w:pPr>
                  <w:r>
                    <w:rPr>
                      <w:rFonts w:hint="eastAsia"/>
                      <w:sz w:val="18"/>
                      <w:szCs w:val="18"/>
                      <w:lang w:val="en-US" w:eastAsia="zh-CN"/>
                    </w:rPr>
                    <w:t>1.7</w:t>
                  </w:r>
                </w:p>
              </w:tc>
              <w:tc>
                <w:tcPr>
                  <w:tcW w:w="765" w:type="dxa"/>
                  <w:noWrap w:val="0"/>
                  <w:tcMar>
                    <w:top w:w="12" w:type="dxa"/>
                    <w:left w:w="12" w:type="dxa"/>
                    <w:right w:w="12" w:type="dxa"/>
                  </w:tcMar>
                  <w:vAlign w:val="center"/>
                </w:tcPr>
                <w:p>
                  <w:pPr>
                    <w:widowControl/>
                    <w:jc w:val="center"/>
                    <w:textAlignment w:val="center"/>
                    <w:rPr>
                      <w:rFonts w:hint="default"/>
                      <w:sz w:val="18"/>
                      <w:szCs w:val="18"/>
                      <w:lang w:val="en-US"/>
                    </w:rPr>
                  </w:pPr>
                  <w:r>
                    <w:rPr>
                      <w:rFonts w:hint="eastAsia"/>
                      <w:sz w:val="18"/>
                      <w:szCs w:val="18"/>
                      <w:lang w:val="en-US" w:eastAsia="zh-CN"/>
                    </w:rPr>
                    <w:t>0.0047</w:t>
                  </w:r>
                </w:p>
              </w:tc>
              <w:tc>
                <w:tcPr>
                  <w:tcW w:w="752" w:type="dxa"/>
                  <w:noWrap w:val="0"/>
                  <w:tcMar>
                    <w:top w:w="12" w:type="dxa"/>
                    <w:left w:w="12" w:type="dxa"/>
                    <w:right w:w="12" w:type="dxa"/>
                  </w:tcMar>
                  <w:vAlign w:val="center"/>
                </w:tcPr>
                <w:p>
                  <w:pPr>
                    <w:widowControl/>
                    <w:jc w:val="center"/>
                    <w:textAlignment w:val="center"/>
                    <w:rPr>
                      <w:sz w:val="18"/>
                      <w:szCs w:val="18"/>
                    </w:rPr>
                  </w:pPr>
                  <w:r>
                    <w:rPr>
                      <w:rFonts w:hint="eastAsia"/>
                      <w:sz w:val="18"/>
                      <w:szCs w:val="18"/>
                      <w:lang w:val="en-US" w:eastAsia="zh-CN"/>
                    </w:rPr>
                    <w:t>0.01125</w:t>
                  </w:r>
                </w:p>
              </w:tc>
              <w:tc>
                <w:tcPr>
                  <w:tcW w:w="630" w:type="dxa"/>
                  <w:noWrap w:val="0"/>
                  <w:tcMar>
                    <w:top w:w="12" w:type="dxa"/>
                    <w:left w:w="12" w:type="dxa"/>
                    <w:right w:w="12" w:type="dxa"/>
                  </w:tcMar>
                  <w:vAlign w:val="center"/>
                </w:tcPr>
                <w:p>
                  <w:pPr>
                    <w:widowControl/>
                    <w:snapToGrid w:val="0"/>
                    <w:jc w:val="center"/>
                    <w:textAlignment w:val="center"/>
                    <w:rPr>
                      <w:rFonts w:hint="default"/>
                      <w:sz w:val="18"/>
                      <w:szCs w:val="18"/>
                      <w:lang w:val="en-US"/>
                    </w:rPr>
                  </w:pPr>
                  <w:r>
                    <w:rPr>
                      <w:rFonts w:hint="eastAsia"/>
                      <w:sz w:val="18"/>
                      <w:szCs w:val="18"/>
                      <w:lang w:val="en-US" w:eastAsia="zh-CN"/>
                    </w:rPr>
                    <w:t>60</w:t>
                  </w:r>
                </w:p>
              </w:tc>
              <w:tc>
                <w:tcPr>
                  <w:tcW w:w="638" w:type="dxa"/>
                  <w:noWrap w:val="0"/>
                  <w:tcMar>
                    <w:top w:w="12" w:type="dxa"/>
                    <w:left w:w="12" w:type="dxa"/>
                    <w:right w:w="12" w:type="dxa"/>
                  </w:tcMar>
                  <w:vAlign w:val="center"/>
                </w:tcPr>
                <w:p>
                  <w:pPr>
                    <w:widowControl/>
                    <w:snapToGrid w:val="0"/>
                    <w:jc w:val="center"/>
                    <w:textAlignment w:val="center"/>
                    <w:rPr>
                      <w:rFonts w:hint="eastAsia" w:eastAsia="宋体"/>
                      <w:sz w:val="18"/>
                      <w:szCs w:val="18"/>
                      <w:lang w:eastAsia="zh-CN"/>
                    </w:rPr>
                  </w:pPr>
                  <w:r>
                    <w:rPr>
                      <w:rFonts w:hint="eastAsia"/>
                      <w:sz w:val="18"/>
                      <w:szCs w:val="18"/>
                      <w:lang w:val="en-US" w:eastAsia="zh-CN"/>
                    </w:rPr>
                    <w:t>/</w:t>
                  </w:r>
                </w:p>
              </w:tc>
              <w:tc>
                <w:tcPr>
                  <w:tcW w:w="630" w:type="dxa"/>
                  <w:noWrap w:val="0"/>
                  <w:tcMar>
                    <w:top w:w="12" w:type="dxa"/>
                    <w:left w:w="12" w:type="dxa"/>
                    <w:right w:w="12" w:type="dxa"/>
                  </w:tcMar>
                  <w:vAlign w:val="center"/>
                </w:tcPr>
                <w:p>
                  <w:pPr>
                    <w:widowControl/>
                    <w:snapToGrid w:val="0"/>
                    <w:jc w:val="center"/>
                    <w:textAlignment w:val="center"/>
                    <w:rPr>
                      <w:sz w:val="18"/>
                      <w:szCs w:val="18"/>
                    </w:rPr>
                  </w:pPr>
                  <w:r>
                    <w:rPr>
                      <w:kern w:val="0"/>
                      <w:sz w:val="18"/>
                      <w:szCs w:val="18"/>
                      <w:lang w:bidi="ar"/>
                    </w:rPr>
                    <w:t>15</w:t>
                  </w:r>
                </w:p>
              </w:tc>
              <w:tc>
                <w:tcPr>
                  <w:tcW w:w="630" w:type="dxa"/>
                  <w:noWrap w:val="0"/>
                  <w:tcMar>
                    <w:top w:w="12" w:type="dxa"/>
                    <w:left w:w="12" w:type="dxa"/>
                    <w:right w:w="12" w:type="dxa"/>
                  </w:tcMar>
                  <w:vAlign w:val="center"/>
                </w:tcPr>
                <w:p>
                  <w:pPr>
                    <w:widowControl/>
                    <w:snapToGrid w:val="0"/>
                    <w:jc w:val="center"/>
                    <w:textAlignment w:val="center"/>
                    <w:rPr>
                      <w:rFonts w:hint="default" w:eastAsia="宋体"/>
                      <w:sz w:val="18"/>
                      <w:szCs w:val="18"/>
                      <w:lang w:val="en-US" w:eastAsia="zh-CN"/>
                    </w:rPr>
                  </w:pPr>
                  <w:r>
                    <w:rPr>
                      <w:rFonts w:hint="eastAsia"/>
                      <w:kern w:val="0"/>
                      <w:sz w:val="18"/>
                      <w:szCs w:val="18"/>
                      <w:lang w:val="en-US" w:eastAsia="zh-CN" w:bidi="ar"/>
                    </w:rPr>
                    <w:t>0.3</w:t>
                  </w:r>
                </w:p>
              </w:tc>
              <w:tc>
                <w:tcPr>
                  <w:tcW w:w="691" w:type="dxa"/>
                  <w:noWrap w:val="0"/>
                  <w:tcMar>
                    <w:top w:w="12" w:type="dxa"/>
                    <w:left w:w="12" w:type="dxa"/>
                    <w:right w:w="12" w:type="dxa"/>
                  </w:tcMar>
                  <w:vAlign w:val="center"/>
                </w:tcPr>
                <w:p>
                  <w:pPr>
                    <w:widowControl/>
                    <w:snapToGrid w:val="0"/>
                    <w:jc w:val="center"/>
                    <w:textAlignment w:val="center"/>
                    <w:rPr>
                      <w:sz w:val="18"/>
                      <w:szCs w:val="18"/>
                    </w:rPr>
                  </w:pPr>
                  <w:r>
                    <w:rPr>
                      <w:kern w:val="0"/>
                      <w:sz w:val="18"/>
                      <w:szCs w:val="18"/>
                      <w:lang w:bidi="ar"/>
                    </w:rPr>
                    <w:t>25</w:t>
                  </w:r>
                </w:p>
              </w:tc>
              <w:tc>
                <w:tcPr>
                  <w:tcW w:w="605" w:type="dxa"/>
                  <w:noWrap w:val="0"/>
                  <w:tcMar>
                    <w:top w:w="12" w:type="dxa"/>
                    <w:left w:w="12" w:type="dxa"/>
                    <w:right w:w="12" w:type="dxa"/>
                  </w:tcMar>
                  <w:vAlign w:val="center"/>
                </w:tcPr>
                <w:p>
                  <w:pPr>
                    <w:widowControl/>
                    <w:snapToGrid w:val="0"/>
                    <w:jc w:val="center"/>
                    <w:textAlignment w:val="center"/>
                    <w:rPr>
                      <w:sz w:val="18"/>
                      <w:szCs w:val="18"/>
                    </w:rPr>
                  </w:pPr>
                  <w:r>
                    <w:rPr>
                      <w:kern w:val="0"/>
                      <w:sz w:val="18"/>
                      <w:szCs w:val="18"/>
                      <w:lang w:bidi="ar"/>
                    </w:rPr>
                    <w:t>2400h/a</w:t>
                  </w:r>
                </w:p>
              </w:tc>
            </w:tr>
          </w:tbl>
          <w:p>
            <w:pPr>
              <w:spacing w:line="420" w:lineRule="exact"/>
              <w:ind w:firstLine="420" w:firstLineChars="200"/>
              <w:rPr>
                <w:szCs w:val="21"/>
                <w:highlight w:val="yellow"/>
              </w:rPr>
            </w:pPr>
            <w:r>
              <w:rPr>
                <w:szCs w:val="21"/>
              </w:rPr>
              <w:t>根据《合成树脂工业污染物排放标准》（GB31572-2015）表5中的要求，所有合成树脂（有机硅树脂除外）单位产品非甲烷总烃排放量限值为0.3kg/t产品。本项目合成树脂产品产量约为</w:t>
            </w:r>
            <w:r>
              <w:rPr>
                <w:rFonts w:hint="eastAsia"/>
                <w:szCs w:val="21"/>
                <w:lang w:val="en-US" w:eastAsia="zh-CN"/>
              </w:rPr>
              <w:t>50</w:t>
            </w:r>
            <w:r>
              <w:rPr>
                <w:szCs w:val="21"/>
              </w:rPr>
              <w:t>t/a，</w:t>
            </w:r>
            <w:r>
              <w:rPr>
                <w:rFonts w:hint="eastAsia"/>
                <w:szCs w:val="21"/>
                <w:lang w:eastAsia="zh-CN"/>
              </w:rPr>
              <w:t>排气筒</w:t>
            </w:r>
            <w:r>
              <w:rPr>
                <w:szCs w:val="21"/>
              </w:rPr>
              <w:t>DA001非甲烷总烃排放量为</w:t>
            </w:r>
            <w:r>
              <w:rPr>
                <w:rFonts w:hint="eastAsia"/>
                <w:szCs w:val="21"/>
                <w:lang w:val="en-US" w:eastAsia="zh-CN"/>
              </w:rPr>
              <w:t>0.01125</w:t>
            </w:r>
            <w:r>
              <w:rPr>
                <w:szCs w:val="21"/>
              </w:rPr>
              <w:t>t/a，则单位产品非甲烷总烃排放量为（</w:t>
            </w:r>
            <w:r>
              <w:rPr>
                <w:rFonts w:hint="eastAsia"/>
                <w:szCs w:val="21"/>
                <w:lang w:val="en-US" w:eastAsia="zh-CN"/>
              </w:rPr>
              <w:t>0.01125</w:t>
            </w:r>
            <w:r>
              <w:rPr>
                <w:szCs w:val="21"/>
              </w:rPr>
              <w:t>）×1000/</w:t>
            </w:r>
            <w:r>
              <w:rPr>
                <w:rFonts w:hint="eastAsia"/>
                <w:szCs w:val="21"/>
                <w:lang w:val="en-US" w:eastAsia="zh-CN"/>
              </w:rPr>
              <w:t>50</w:t>
            </w:r>
            <w:r>
              <w:rPr>
                <w:szCs w:val="21"/>
              </w:rPr>
              <w:t>=</w:t>
            </w:r>
            <w:r>
              <w:rPr>
                <w:rFonts w:hint="eastAsia"/>
                <w:szCs w:val="21"/>
                <w:lang w:val="en-US" w:eastAsia="zh-CN"/>
              </w:rPr>
              <w:t>0.225</w:t>
            </w:r>
            <w:r>
              <w:rPr>
                <w:szCs w:val="21"/>
              </w:rPr>
              <w:t>kg/t产品，符合排放要求。</w:t>
            </w:r>
          </w:p>
          <w:p>
            <w:pPr>
              <w:spacing w:line="480" w:lineRule="exact"/>
              <w:ind w:firstLine="420" w:firstLineChars="200"/>
              <w:rPr>
                <w:szCs w:val="21"/>
              </w:rPr>
            </w:pPr>
            <w:r>
              <w:rPr>
                <w:szCs w:val="21"/>
              </w:rPr>
              <w:t xml:space="preserve">本项目无组织排放情况一览表见表4-8。 </w:t>
            </w:r>
          </w:p>
          <w:p>
            <w:pPr>
              <w:pStyle w:val="8"/>
              <w:spacing w:before="0" w:after="0" w:line="480" w:lineRule="exact"/>
              <w:ind w:right="0"/>
              <w:jc w:val="center"/>
              <w:rPr>
                <w:b/>
                <w:bCs/>
                <w:kern w:val="2"/>
                <w:szCs w:val="18"/>
              </w:rPr>
            </w:pPr>
            <w:r>
              <w:rPr>
                <w:b/>
                <w:bCs/>
                <w:kern w:val="2"/>
                <w:szCs w:val="18"/>
              </w:rPr>
              <w:t>表4-8  本项目无组织废气产生及排放情况表</w:t>
            </w:r>
          </w:p>
          <w:tbl>
            <w:tblPr>
              <w:tblStyle w:val="21"/>
              <w:tblW w:w="12747"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176"/>
              <w:gridCol w:w="1347"/>
              <w:gridCol w:w="1697"/>
              <w:gridCol w:w="1273"/>
              <w:gridCol w:w="1633"/>
              <w:gridCol w:w="1952"/>
              <w:gridCol w:w="1227"/>
              <w:gridCol w:w="128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8" w:type="dxa"/>
                  <w:noWrap w:val="0"/>
                  <w:vAlign w:val="center"/>
                </w:tcPr>
                <w:p>
                  <w:pPr>
                    <w:pStyle w:val="8"/>
                    <w:spacing w:before="0" w:after="0" w:line="240" w:lineRule="auto"/>
                    <w:ind w:right="0"/>
                    <w:jc w:val="center"/>
                    <w:rPr>
                      <w:b/>
                      <w:bCs/>
                      <w:szCs w:val="18"/>
                    </w:rPr>
                  </w:pPr>
                  <w:r>
                    <w:rPr>
                      <w:b/>
                      <w:bCs/>
                      <w:szCs w:val="18"/>
                    </w:rPr>
                    <w:t>污染源位置</w:t>
                  </w:r>
                </w:p>
              </w:tc>
              <w:tc>
                <w:tcPr>
                  <w:tcW w:w="1176" w:type="dxa"/>
                  <w:noWrap w:val="0"/>
                  <w:vAlign w:val="center"/>
                </w:tcPr>
                <w:p>
                  <w:pPr>
                    <w:pStyle w:val="8"/>
                    <w:spacing w:before="0" w:after="0" w:line="240" w:lineRule="auto"/>
                    <w:ind w:right="0"/>
                    <w:jc w:val="center"/>
                    <w:rPr>
                      <w:b/>
                      <w:bCs/>
                      <w:szCs w:val="18"/>
                    </w:rPr>
                  </w:pPr>
                  <w:r>
                    <w:rPr>
                      <w:b/>
                      <w:bCs/>
                      <w:szCs w:val="18"/>
                    </w:rPr>
                    <w:t>废气编号</w:t>
                  </w:r>
                </w:p>
              </w:tc>
              <w:tc>
                <w:tcPr>
                  <w:tcW w:w="1347" w:type="dxa"/>
                  <w:noWrap w:val="0"/>
                  <w:vAlign w:val="center"/>
                </w:tcPr>
                <w:p>
                  <w:pPr>
                    <w:pStyle w:val="8"/>
                    <w:spacing w:before="0" w:after="0" w:line="240" w:lineRule="auto"/>
                    <w:ind w:right="0"/>
                    <w:jc w:val="center"/>
                    <w:rPr>
                      <w:b/>
                      <w:bCs/>
                      <w:szCs w:val="18"/>
                    </w:rPr>
                  </w:pPr>
                  <w:r>
                    <w:rPr>
                      <w:b/>
                      <w:bCs/>
                      <w:szCs w:val="18"/>
                    </w:rPr>
                    <w:t>污染物名称</w:t>
                  </w:r>
                </w:p>
              </w:tc>
              <w:tc>
                <w:tcPr>
                  <w:tcW w:w="1697" w:type="dxa"/>
                  <w:noWrap w:val="0"/>
                  <w:vAlign w:val="center"/>
                </w:tcPr>
                <w:p>
                  <w:pPr>
                    <w:pStyle w:val="8"/>
                    <w:spacing w:before="0" w:after="0" w:line="240" w:lineRule="auto"/>
                    <w:ind w:right="0"/>
                    <w:jc w:val="center"/>
                    <w:rPr>
                      <w:b/>
                      <w:bCs/>
                      <w:szCs w:val="18"/>
                    </w:rPr>
                  </w:pPr>
                  <w:r>
                    <w:rPr>
                      <w:b/>
                      <w:bCs/>
                      <w:szCs w:val="18"/>
                    </w:rPr>
                    <w:t>污染物产生量t/a</w:t>
                  </w:r>
                </w:p>
              </w:tc>
              <w:tc>
                <w:tcPr>
                  <w:tcW w:w="1273" w:type="dxa"/>
                  <w:noWrap w:val="0"/>
                  <w:vAlign w:val="center"/>
                </w:tcPr>
                <w:p>
                  <w:pPr>
                    <w:pStyle w:val="8"/>
                    <w:spacing w:before="0" w:after="0" w:line="240" w:lineRule="auto"/>
                    <w:ind w:right="0"/>
                    <w:jc w:val="center"/>
                    <w:rPr>
                      <w:b/>
                      <w:bCs/>
                      <w:szCs w:val="18"/>
                    </w:rPr>
                  </w:pPr>
                  <w:r>
                    <w:rPr>
                      <w:b/>
                      <w:bCs/>
                      <w:szCs w:val="18"/>
                    </w:rPr>
                    <w:t>治理措施</w:t>
                  </w:r>
                </w:p>
              </w:tc>
              <w:tc>
                <w:tcPr>
                  <w:tcW w:w="1633" w:type="dxa"/>
                  <w:noWrap w:val="0"/>
                  <w:vAlign w:val="center"/>
                </w:tcPr>
                <w:p>
                  <w:pPr>
                    <w:pStyle w:val="8"/>
                    <w:spacing w:before="0" w:after="0" w:line="240" w:lineRule="auto"/>
                    <w:ind w:right="0"/>
                    <w:jc w:val="center"/>
                    <w:rPr>
                      <w:b/>
                      <w:bCs/>
                      <w:szCs w:val="18"/>
                    </w:rPr>
                  </w:pPr>
                  <w:r>
                    <w:rPr>
                      <w:b/>
                      <w:bCs/>
                      <w:szCs w:val="18"/>
                    </w:rPr>
                    <w:t>污染物排放量t/a</w:t>
                  </w:r>
                </w:p>
              </w:tc>
              <w:tc>
                <w:tcPr>
                  <w:tcW w:w="1952" w:type="dxa"/>
                  <w:noWrap w:val="0"/>
                  <w:vAlign w:val="center"/>
                </w:tcPr>
                <w:p>
                  <w:pPr>
                    <w:pStyle w:val="8"/>
                    <w:spacing w:before="0" w:after="0" w:line="240" w:lineRule="auto"/>
                    <w:ind w:right="0"/>
                    <w:jc w:val="center"/>
                    <w:rPr>
                      <w:b/>
                      <w:bCs/>
                      <w:szCs w:val="18"/>
                      <w:highlight w:val="yellow"/>
                    </w:rPr>
                  </w:pPr>
                  <w:r>
                    <w:rPr>
                      <w:b/>
                      <w:bCs/>
                      <w:szCs w:val="18"/>
                    </w:rPr>
                    <w:t>污染物排放速率kg/h</w:t>
                  </w:r>
                </w:p>
              </w:tc>
              <w:tc>
                <w:tcPr>
                  <w:tcW w:w="1227" w:type="dxa"/>
                  <w:noWrap w:val="0"/>
                  <w:vAlign w:val="center"/>
                </w:tcPr>
                <w:p>
                  <w:pPr>
                    <w:pStyle w:val="8"/>
                    <w:spacing w:before="0" w:after="0" w:line="240" w:lineRule="auto"/>
                    <w:ind w:right="0"/>
                    <w:jc w:val="center"/>
                    <w:rPr>
                      <w:b/>
                      <w:bCs/>
                      <w:szCs w:val="18"/>
                    </w:rPr>
                  </w:pPr>
                  <w:r>
                    <w:rPr>
                      <w:b/>
                      <w:bCs/>
                      <w:szCs w:val="18"/>
                    </w:rPr>
                    <w:t>面源面积m</w:t>
                  </w:r>
                  <w:r>
                    <w:rPr>
                      <w:b/>
                      <w:bCs/>
                      <w:szCs w:val="18"/>
                      <w:vertAlign w:val="superscript"/>
                    </w:rPr>
                    <w:t>2</w:t>
                  </w:r>
                </w:p>
              </w:tc>
              <w:tc>
                <w:tcPr>
                  <w:tcW w:w="1284" w:type="dxa"/>
                  <w:noWrap w:val="0"/>
                  <w:vAlign w:val="center"/>
                </w:tcPr>
                <w:p>
                  <w:pPr>
                    <w:pStyle w:val="8"/>
                    <w:spacing w:before="0" w:after="0" w:line="240" w:lineRule="auto"/>
                    <w:ind w:right="0"/>
                    <w:jc w:val="center"/>
                    <w:rPr>
                      <w:b/>
                      <w:bCs/>
                      <w:szCs w:val="18"/>
                    </w:rPr>
                  </w:pPr>
                  <w:r>
                    <w:rPr>
                      <w:b/>
                      <w:bCs/>
                      <w:szCs w:val="18"/>
                    </w:rPr>
                    <w:t>面源高度m</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58" w:type="dxa"/>
                  <w:noWrap w:val="0"/>
                  <w:vAlign w:val="center"/>
                </w:tcPr>
                <w:p>
                  <w:pPr>
                    <w:pStyle w:val="8"/>
                    <w:spacing w:before="0" w:after="0" w:line="240" w:lineRule="auto"/>
                    <w:ind w:right="0"/>
                    <w:jc w:val="center"/>
                    <w:rPr>
                      <w:szCs w:val="18"/>
                    </w:rPr>
                  </w:pPr>
                  <w:r>
                    <w:rPr>
                      <w:szCs w:val="18"/>
                    </w:rPr>
                    <w:t>生产车间</w:t>
                  </w:r>
                </w:p>
              </w:tc>
              <w:tc>
                <w:tcPr>
                  <w:tcW w:w="1176" w:type="dxa"/>
                  <w:noWrap w:val="0"/>
                  <w:vAlign w:val="center"/>
                </w:tcPr>
                <w:p>
                  <w:pPr>
                    <w:widowControl/>
                    <w:snapToGrid w:val="0"/>
                    <w:jc w:val="center"/>
                    <w:textAlignment w:val="center"/>
                    <w:rPr>
                      <w:sz w:val="18"/>
                      <w:szCs w:val="18"/>
                    </w:rPr>
                  </w:pPr>
                  <w:r>
                    <w:rPr>
                      <w:sz w:val="18"/>
                      <w:szCs w:val="18"/>
                    </w:rPr>
                    <w:t>G</w:t>
                  </w:r>
                  <w:r>
                    <w:rPr>
                      <w:sz w:val="18"/>
                      <w:szCs w:val="18"/>
                      <w:vertAlign w:val="subscript"/>
                    </w:rPr>
                    <w:t>1</w:t>
                  </w:r>
                  <w:r>
                    <w:rPr>
                      <w:sz w:val="18"/>
                      <w:szCs w:val="18"/>
                    </w:rPr>
                    <w:t>、G</w:t>
                  </w:r>
                  <w:r>
                    <w:rPr>
                      <w:sz w:val="18"/>
                      <w:szCs w:val="18"/>
                      <w:vertAlign w:val="subscript"/>
                    </w:rPr>
                    <w:t>2</w:t>
                  </w:r>
                </w:p>
              </w:tc>
              <w:tc>
                <w:tcPr>
                  <w:tcW w:w="1347" w:type="dxa"/>
                  <w:noWrap w:val="0"/>
                  <w:vAlign w:val="center"/>
                </w:tcPr>
                <w:p>
                  <w:pPr>
                    <w:pStyle w:val="8"/>
                    <w:spacing w:before="0" w:after="0" w:line="240" w:lineRule="auto"/>
                    <w:ind w:right="0"/>
                    <w:jc w:val="center"/>
                    <w:rPr>
                      <w:szCs w:val="18"/>
                    </w:rPr>
                  </w:pPr>
                  <w:r>
                    <w:rPr>
                      <w:szCs w:val="18"/>
                    </w:rPr>
                    <w:t>非甲烷总烃</w:t>
                  </w:r>
                </w:p>
              </w:tc>
              <w:tc>
                <w:tcPr>
                  <w:tcW w:w="1697" w:type="dxa"/>
                  <w:noWrap w:val="0"/>
                  <w:vAlign w:val="center"/>
                </w:tcPr>
                <w:p>
                  <w:pPr>
                    <w:widowControl/>
                    <w:jc w:val="center"/>
                    <w:textAlignment w:val="center"/>
                    <w:rPr>
                      <w:kern w:val="0"/>
                      <w:sz w:val="18"/>
                      <w:szCs w:val="18"/>
                      <w:highlight w:val="yellow"/>
                    </w:rPr>
                  </w:pPr>
                  <w:r>
                    <w:rPr>
                      <w:rFonts w:hint="eastAsia" w:ascii="Times New Roman" w:hAnsi="Times New Roman" w:eastAsia="宋体" w:cs="Times New Roman"/>
                      <w:kern w:val="0"/>
                      <w:sz w:val="18"/>
                      <w:szCs w:val="18"/>
                      <w:lang w:val="en-US" w:eastAsia="zh-CN" w:bidi="ar-SA"/>
                    </w:rPr>
                    <w:t>0.0125</w:t>
                  </w:r>
                </w:p>
              </w:tc>
              <w:tc>
                <w:tcPr>
                  <w:tcW w:w="1273" w:type="dxa"/>
                  <w:noWrap w:val="0"/>
                  <w:vAlign w:val="center"/>
                </w:tcPr>
                <w:p>
                  <w:pPr>
                    <w:pStyle w:val="5"/>
                    <w:jc w:val="center"/>
                    <w:rPr>
                      <w:sz w:val="18"/>
                      <w:szCs w:val="18"/>
                    </w:rPr>
                  </w:pPr>
                  <w:r>
                    <w:rPr>
                      <w:sz w:val="18"/>
                      <w:szCs w:val="18"/>
                    </w:rPr>
                    <w:t>密闭投料系统、局部有效收集</w:t>
                  </w:r>
                </w:p>
              </w:tc>
              <w:tc>
                <w:tcPr>
                  <w:tcW w:w="1633" w:type="dxa"/>
                  <w:noWrap w:val="0"/>
                  <w:vAlign w:val="center"/>
                </w:tcPr>
                <w:p>
                  <w:pPr>
                    <w:widowControl/>
                    <w:jc w:val="center"/>
                    <w:textAlignment w:val="center"/>
                    <w:rPr>
                      <w:sz w:val="18"/>
                      <w:szCs w:val="18"/>
                    </w:rPr>
                  </w:pPr>
                  <w:r>
                    <w:rPr>
                      <w:rFonts w:hint="eastAsia" w:ascii="Times New Roman" w:hAnsi="Times New Roman" w:eastAsia="宋体" w:cs="Times New Roman"/>
                      <w:kern w:val="0"/>
                      <w:sz w:val="18"/>
                      <w:szCs w:val="18"/>
                      <w:lang w:val="en-US" w:eastAsia="zh-CN" w:bidi="ar-SA"/>
                    </w:rPr>
                    <w:t>0.0125</w:t>
                  </w:r>
                </w:p>
              </w:tc>
              <w:tc>
                <w:tcPr>
                  <w:tcW w:w="1952" w:type="dxa"/>
                  <w:noWrap w:val="0"/>
                  <w:vAlign w:val="center"/>
                </w:tcPr>
                <w:p>
                  <w:pPr>
                    <w:widowControl/>
                    <w:jc w:val="center"/>
                    <w:textAlignment w:val="center"/>
                    <w:rPr>
                      <w:rFonts w:hint="default" w:eastAsia="宋体"/>
                      <w:sz w:val="18"/>
                      <w:szCs w:val="18"/>
                      <w:lang w:val="en-US" w:eastAsia="zh-CN"/>
                    </w:rPr>
                  </w:pPr>
                  <w:r>
                    <w:rPr>
                      <w:rFonts w:hint="eastAsia"/>
                      <w:sz w:val="18"/>
                      <w:szCs w:val="18"/>
                      <w:lang w:val="en-US" w:eastAsia="zh-CN"/>
                    </w:rPr>
                    <w:t>0.0052</w:t>
                  </w:r>
                </w:p>
              </w:tc>
              <w:tc>
                <w:tcPr>
                  <w:tcW w:w="1227" w:type="dxa"/>
                  <w:noWrap w:val="0"/>
                  <w:vAlign w:val="center"/>
                </w:tcPr>
                <w:p>
                  <w:pPr>
                    <w:pStyle w:val="8"/>
                    <w:spacing w:before="0" w:after="0" w:line="240" w:lineRule="auto"/>
                    <w:ind w:right="0"/>
                    <w:jc w:val="center"/>
                    <w:rPr>
                      <w:rFonts w:hint="default" w:eastAsia="宋体"/>
                      <w:szCs w:val="18"/>
                      <w:lang w:val="en-US" w:eastAsia="zh-CN"/>
                    </w:rPr>
                  </w:pPr>
                  <w:r>
                    <w:rPr>
                      <w:rFonts w:hint="eastAsia"/>
                      <w:szCs w:val="18"/>
                      <w:lang w:val="en-US" w:eastAsia="zh-CN"/>
                    </w:rPr>
                    <w:t>280</w:t>
                  </w:r>
                </w:p>
              </w:tc>
              <w:tc>
                <w:tcPr>
                  <w:tcW w:w="1284" w:type="dxa"/>
                  <w:noWrap w:val="0"/>
                  <w:vAlign w:val="center"/>
                </w:tcPr>
                <w:p>
                  <w:pPr>
                    <w:pStyle w:val="8"/>
                    <w:spacing w:before="0" w:after="0" w:line="240" w:lineRule="auto"/>
                    <w:ind w:right="0"/>
                    <w:jc w:val="center"/>
                    <w:rPr>
                      <w:rFonts w:hint="eastAsia" w:eastAsia="宋体"/>
                      <w:szCs w:val="18"/>
                      <w:lang w:eastAsia="zh-CN"/>
                    </w:rPr>
                  </w:pPr>
                  <w:r>
                    <w:rPr>
                      <w:rFonts w:hint="eastAsia"/>
                      <w:szCs w:val="18"/>
                      <w:lang w:val="en-US" w:eastAsia="zh-CN"/>
                    </w:rPr>
                    <w:t>8</w:t>
                  </w:r>
                </w:p>
              </w:tc>
            </w:tr>
          </w:tbl>
          <w:p>
            <w:pPr>
              <w:spacing w:line="480" w:lineRule="exact"/>
              <w:ind w:firstLine="422" w:firstLineChars="200"/>
              <w:rPr>
                <w:b/>
                <w:bCs/>
              </w:rPr>
            </w:pPr>
          </w:p>
          <w:p>
            <w:pPr>
              <w:spacing w:line="480" w:lineRule="exact"/>
              <w:ind w:firstLine="422" w:firstLineChars="200"/>
              <w:rPr>
                <w:b/>
                <w:bCs/>
              </w:rPr>
            </w:pPr>
          </w:p>
          <w:p>
            <w:pPr>
              <w:pStyle w:val="8"/>
            </w:pPr>
          </w:p>
        </w:tc>
      </w:tr>
    </w:tbl>
    <w:p>
      <w:pPr>
        <w:pStyle w:val="8"/>
      </w:pPr>
    </w:p>
    <w:p>
      <w:pPr>
        <w:pStyle w:val="9"/>
        <w:widowControl w:val="0"/>
        <w:numPr>
          <w:ilvl w:val="0"/>
          <w:numId w:val="0"/>
        </w:numPr>
        <w:jc w:val="both"/>
      </w:pPr>
    </w:p>
    <w:p>
      <w:pPr>
        <w:pStyle w:val="9"/>
        <w:widowControl w:val="0"/>
        <w:numPr>
          <w:ilvl w:val="0"/>
          <w:numId w:val="0"/>
        </w:numPr>
        <w:jc w:val="both"/>
        <w:sectPr>
          <w:pgSz w:w="16838" w:h="11905" w:orient="landscape"/>
          <w:pgMar w:top="1531" w:right="1701" w:bottom="1531" w:left="1701" w:header="851" w:footer="850" w:gutter="0"/>
          <w:pgBorders>
            <w:top w:val="none" w:sz="0" w:space="0"/>
            <w:left w:val="none" w:sz="0" w:space="0"/>
            <w:bottom w:val="none" w:sz="0" w:space="0"/>
            <w:right w:val="none" w:sz="0" w:space="0"/>
          </w:pgBorders>
          <w:cols w:space="0" w:num="1"/>
          <w:rtlGutter w:val="0"/>
          <w:docGrid w:linePitch="312" w:charSpace="0"/>
        </w:sectPr>
      </w:pPr>
    </w:p>
    <w:tbl>
      <w:tblPr>
        <w:tblStyle w:val="21"/>
        <w:tblW w:w="900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80"/>
        <w:gridCol w:w="540"/>
        <w:gridCol w:w="128"/>
        <w:gridCol w:w="8240"/>
        <w:gridCol w:w="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trHeight w:val="13183" w:hRule="atLeast"/>
        </w:trPr>
        <w:tc>
          <w:tcPr>
            <w:tcW w:w="748" w:type="dxa"/>
            <w:gridSpan w:val="3"/>
            <w:noWrap w:val="0"/>
            <w:vAlign w:val="center"/>
          </w:tcPr>
          <w:p>
            <w:pPr>
              <w:jc w:val="center"/>
            </w:pPr>
            <w:r>
              <w:t>运营</w:t>
            </w:r>
          </w:p>
          <w:p>
            <w:pPr>
              <w:jc w:val="center"/>
            </w:pPr>
            <w:r>
              <w:t>期环</w:t>
            </w:r>
          </w:p>
          <w:p>
            <w:pPr>
              <w:jc w:val="center"/>
            </w:pPr>
            <w:r>
              <w:t>境影</w:t>
            </w:r>
          </w:p>
          <w:p>
            <w:pPr>
              <w:jc w:val="center"/>
            </w:pPr>
            <w:r>
              <w:t>响和</w:t>
            </w:r>
          </w:p>
          <w:p>
            <w:pPr>
              <w:jc w:val="center"/>
            </w:pPr>
            <w:r>
              <w:t>保护</w:t>
            </w:r>
          </w:p>
          <w:p>
            <w:pPr>
              <w:jc w:val="center"/>
              <w:rPr>
                <w:rFonts w:eastAsia="黑体"/>
                <w:snapToGrid w:val="0"/>
                <w:sz w:val="30"/>
                <w:szCs w:val="30"/>
                <w:highlight w:val="yellow"/>
              </w:rPr>
            </w:pPr>
            <w:r>
              <w:t>措施</w:t>
            </w:r>
          </w:p>
        </w:tc>
        <w:tc>
          <w:tcPr>
            <w:tcW w:w="8260" w:type="dxa"/>
            <w:gridSpan w:val="2"/>
            <w:noWrap w:val="0"/>
            <w:vAlign w:val="top"/>
          </w:tcPr>
          <w:p>
            <w:pPr>
              <w:spacing w:line="480" w:lineRule="exact"/>
              <w:ind w:firstLine="422" w:firstLineChars="200"/>
              <w:rPr>
                <w:b/>
                <w:bCs/>
              </w:rPr>
            </w:pPr>
            <w:r>
              <w:rPr>
                <w:b/>
                <w:bCs/>
              </w:rPr>
              <w:t xml:space="preserve">非正常排放 </w:t>
            </w:r>
          </w:p>
          <w:p>
            <w:pPr>
              <w:spacing w:line="480" w:lineRule="exact"/>
              <w:ind w:firstLine="420" w:firstLineChars="200"/>
            </w:pPr>
            <w:r>
              <w:t xml:space="preserve">在分析生产工艺的基础上可知，本项目非正常工况主要为污染防治措施及装置出现故障需要进行检修，此时若仍继续生产作业会导致废气直接排放，危害环境。对于本项目废气处理系统，一般情况下是开工时先运行废气处理系统，停工时废气处理系统最后停运，因此，在开停工时一般情况下不存在工艺尾气事故排放。 </w:t>
            </w:r>
          </w:p>
          <w:p>
            <w:pPr>
              <w:pStyle w:val="8"/>
              <w:spacing w:before="0" w:after="0" w:line="480" w:lineRule="exact"/>
              <w:ind w:right="0"/>
              <w:jc w:val="center"/>
              <w:rPr>
                <w:b/>
                <w:bCs/>
                <w:kern w:val="2"/>
                <w:szCs w:val="18"/>
              </w:rPr>
            </w:pPr>
            <w:r>
              <w:rPr>
                <w:b/>
                <w:bCs/>
                <w:kern w:val="2"/>
                <w:szCs w:val="18"/>
              </w:rPr>
              <w:t>表4-9  本项目非正常工况下排放参数表</w:t>
            </w:r>
          </w:p>
          <w:tbl>
            <w:tblPr>
              <w:tblStyle w:val="21"/>
              <w:tblW w:w="8039" w:type="dxa"/>
              <w:tblInd w:w="5"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140"/>
              <w:gridCol w:w="980"/>
              <w:gridCol w:w="940"/>
              <w:gridCol w:w="910"/>
              <w:gridCol w:w="1000"/>
              <w:gridCol w:w="219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875" w:type="dxa"/>
                  <w:vMerge w:val="restart"/>
                  <w:noWrap w:val="0"/>
                  <w:vAlign w:val="center"/>
                </w:tcPr>
                <w:p>
                  <w:pPr>
                    <w:jc w:val="center"/>
                    <w:rPr>
                      <w:b/>
                      <w:bCs/>
                      <w:sz w:val="18"/>
                      <w:szCs w:val="18"/>
                    </w:rPr>
                  </w:pPr>
                  <w:r>
                    <w:rPr>
                      <w:b/>
                      <w:bCs/>
                      <w:sz w:val="18"/>
                      <w:szCs w:val="18"/>
                    </w:rPr>
                    <w:t>排放口</w:t>
                  </w:r>
                </w:p>
              </w:tc>
              <w:tc>
                <w:tcPr>
                  <w:tcW w:w="1140" w:type="dxa"/>
                  <w:vMerge w:val="restart"/>
                  <w:noWrap w:val="0"/>
                  <w:vAlign w:val="center"/>
                </w:tcPr>
                <w:p>
                  <w:pPr>
                    <w:jc w:val="center"/>
                    <w:rPr>
                      <w:b/>
                      <w:bCs/>
                      <w:sz w:val="18"/>
                      <w:szCs w:val="18"/>
                    </w:rPr>
                  </w:pPr>
                  <w:r>
                    <w:rPr>
                      <w:b/>
                      <w:bCs/>
                      <w:sz w:val="18"/>
                      <w:szCs w:val="18"/>
                    </w:rPr>
                    <w:t>污染物名称</w:t>
                  </w:r>
                </w:p>
              </w:tc>
              <w:tc>
                <w:tcPr>
                  <w:tcW w:w="3830" w:type="dxa"/>
                  <w:gridSpan w:val="4"/>
                  <w:noWrap w:val="0"/>
                  <w:vAlign w:val="center"/>
                </w:tcPr>
                <w:p>
                  <w:pPr>
                    <w:jc w:val="center"/>
                    <w:rPr>
                      <w:b/>
                      <w:bCs/>
                      <w:sz w:val="18"/>
                      <w:szCs w:val="18"/>
                    </w:rPr>
                  </w:pPr>
                  <w:r>
                    <w:rPr>
                      <w:b/>
                      <w:bCs/>
                      <w:sz w:val="18"/>
                      <w:szCs w:val="18"/>
                    </w:rPr>
                    <w:t>排放情况</w:t>
                  </w:r>
                </w:p>
              </w:tc>
              <w:tc>
                <w:tcPr>
                  <w:tcW w:w="2194" w:type="dxa"/>
                  <w:vMerge w:val="restart"/>
                  <w:noWrap w:val="0"/>
                  <w:vAlign w:val="center"/>
                </w:tcPr>
                <w:p>
                  <w:pPr>
                    <w:jc w:val="center"/>
                    <w:rPr>
                      <w:b/>
                      <w:bCs/>
                      <w:sz w:val="18"/>
                      <w:szCs w:val="18"/>
                    </w:rPr>
                  </w:pPr>
                  <w:r>
                    <w:rPr>
                      <w:b/>
                      <w:bCs/>
                      <w:sz w:val="18"/>
                      <w:szCs w:val="18"/>
                    </w:rPr>
                    <w:t>应对措施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875" w:type="dxa"/>
                  <w:vMerge w:val="continue"/>
                  <w:noWrap w:val="0"/>
                  <w:vAlign w:val="center"/>
                </w:tcPr>
                <w:p>
                  <w:pPr>
                    <w:jc w:val="center"/>
                    <w:rPr>
                      <w:b/>
                      <w:bCs/>
                      <w:sz w:val="18"/>
                      <w:szCs w:val="18"/>
                    </w:rPr>
                  </w:pPr>
                </w:p>
              </w:tc>
              <w:tc>
                <w:tcPr>
                  <w:tcW w:w="1140" w:type="dxa"/>
                  <w:vMerge w:val="continue"/>
                  <w:noWrap w:val="0"/>
                  <w:vAlign w:val="center"/>
                </w:tcPr>
                <w:p>
                  <w:pPr>
                    <w:jc w:val="center"/>
                    <w:rPr>
                      <w:b/>
                      <w:bCs/>
                      <w:sz w:val="18"/>
                      <w:szCs w:val="18"/>
                    </w:rPr>
                  </w:pPr>
                </w:p>
              </w:tc>
              <w:tc>
                <w:tcPr>
                  <w:tcW w:w="980" w:type="dxa"/>
                  <w:noWrap w:val="0"/>
                  <w:vAlign w:val="center"/>
                </w:tcPr>
                <w:p>
                  <w:pPr>
                    <w:jc w:val="center"/>
                    <w:rPr>
                      <w:b/>
                      <w:bCs/>
                      <w:sz w:val="18"/>
                      <w:szCs w:val="18"/>
                    </w:rPr>
                  </w:pPr>
                  <w:r>
                    <w:rPr>
                      <w:b/>
                      <w:bCs/>
                      <w:sz w:val="18"/>
                      <w:szCs w:val="18"/>
                    </w:rPr>
                    <w:t>速率kg/h</w:t>
                  </w:r>
                </w:p>
              </w:tc>
              <w:tc>
                <w:tcPr>
                  <w:tcW w:w="940" w:type="dxa"/>
                  <w:noWrap w:val="0"/>
                  <w:vAlign w:val="center"/>
                </w:tcPr>
                <w:p>
                  <w:pPr>
                    <w:jc w:val="center"/>
                    <w:rPr>
                      <w:b/>
                      <w:bCs/>
                      <w:sz w:val="18"/>
                      <w:szCs w:val="18"/>
                    </w:rPr>
                  </w:pPr>
                  <w:r>
                    <w:rPr>
                      <w:b/>
                      <w:bCs/>
                      <w:sz w:val="18"/>
                      <w:szCs w:val="18"/>
                    </w:rPr>
                    <w:t>单次持续时间</w:t>
                  </w:r>
                </w:p>
              </w:tc>
              <w:tc>
                <w:tcPr>
                  <w:tcW w:w="910" w:type="dxa"/>
                  <w:noWrap w:val="0"/>
                  <w:vAlign w:val="center"/>
                </w:tcPr>
                <w:p>
                  <w:pPr>
                    <w:jc w:val="center"/>
                    <w:rPr>
                      <w:b/>
                      <w:bCs/>
                      <w:sz w:val="18"/>
                      <w:szCs w:val="18"/>
                    </w:rPr>
                  </w:pPr>
                  <w:r>
                    <w:rPr>
                      <w:b/>
                      <w:bCs/>
                      <w:sz w:val="18"/>
                      <w:szCs w:val="18"/>
                    </w:rPr>
                    <w:t>年发生频次/次</w:t>
                  </w:r>
                </w:p>
              </w:tc>
              <w:tc>
                <w:tcPr>
                  <w:tcW w:w="1000" w:type="dxa"/>
                  <w:noWrap w:val="0"/>
                  <w:vAlign w:val="center"/>
                </w:tcPr>
                <w:p>
                  <w:pPr>
                    <w:jc w:val="center"/>
                    <w:rPr>
                      <w:b/>
                      <w:bCs/>
                      <w:sz w:val="18"/>
                      <w:szCs w:val="18"/>
                    </w:rPr>
                  </w:pPr>
                  <w:r>
                    <w:rPr>
                      <w:b/>
                      <w:bCs/>
                      <w:sz w:val="18"/>
                      <w:szCs w:val="18"/>
                    </w:rPr>
                    <w:t>故障原因</w:t>
                  </w:r>
                </w:p>
              </w:tc>
              <w:tc>
                <w:tcPr>
                  <w:tcW w:w="2194" w:type="dxa"/>
                  <w:vMerge w:val="continue"/>
                  <w:noWrap w:val="0"/>
                  <w:vAlign w:val="center"/>
                </w:tcPr>
                <w:p>
                  <w:pPr>
                    <w:jc w:val="center"/>
                    <w:rPr>
                      <w:b/>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75" w:type="dxa"/>
                  <w:noWrap w:val="0"/>
                  <w:vAlign w:val="center"/>
                </w:tcPr>
                <w:p>
                  <w:pPr>
                    <w:jc w:val="center"/>
                    <w:rPr>
                      <w:sz w:val="18"/>
                      <w:szCs w:val="18"/>
                    </w:rPr>
                  </w:pPr>
                  <w:r>
                    <w:rPr>
                      <w:sz w:val="18"/>
                      <w:szCs w:val="18"/>
                    </w:rPr>
                    <w:t>DA001</w:t>
                  </w:r>
                </w:p>
              </w:tc>
              <w:tc>
                <w:tcPr>
                  <w:tcW w:w="1140" w:type="dxa"/>
                  <w:noWrap w:val="0"/>
                  <w:vAlign w:val="center"/>
                </w:tcPr>
                <w:p>
                  <w:pPr>
                    <w:widowControl/>
                    <w:snapToGrid w:val="0"/>
                    <w:jc w:val="center"/>
                    <w:textAlignment w:val="center"/>
                    <w:rPr>
                      <w:sz w:val="18"/>
                      <w:szCs w:val="18"/>
                    </w:rPr>
                  </w:pPr>
                  <w:r>
                    <w:rPr>
                      <w:sz w:val="18"/>
                      <w:szCs w:val="18"/>
                    </w:rPr>
                    <w:t>非甲烷总烃</w:t>
                  </w:r>
                </w:p>
              </w:tc>
              <w:tc>
                <w:tcPr>
                  <w:tcW w:w="980" w:type="dxa"/>
                  <w:noWrap w:val="0"/>
                  <w:vAlign w:val="center"/>
                </w:tcPr>
                <w:p>
                  <w:pPr>
                    <w:widowControl/>
                    <w:jc w:val="center"/>
                    <w:textAlignment w:val="center"/>
                    <w:rPr>
                      <w:sz w:val="18"/>
                      <w:szCs w:val="18"/>
                    </w:rPr>
                  </w:pPr>
                  <w:r>
                    <w:rPr>
                      <w:rFonts w:hint="eastAsia"/>
                      <w:sz w:val="18"/>
                      <w:szCs w:val="18"/>
                      <w:lang w:val="en-US" w:eastAsia="zh-CN"/>
                    </w:rPr>
                    <w:t>0.047</w:t>
                  </w:r>
                </w:p>
              </w:tc>
              <w:tc>
                <w:tcPr>
                  <w:tcW w:w="940" w:type="dxa"/>
                  <w:noWrap w:val="0"/>
                  <w:vAlign w:val="center"/>
                </w:tcPr>
                <w:p>
                  <w:pPr>
                    <w:jc w:val="center"/>
                    <w:rPr>
                      <w:sz w:val="18"/>
                      <w:szCs w:val="18"/>
                    </w:rPr>
                  </w:pPr>
                  <w:r>
                    <w:rPr>
                      <w:sz w:val="18"/>
                      <w:szCs w:val="18"/>
                    </w:rPr>
                    <w:t>15min</w:t>
                  </w:r>
                </w:p>
              </w:tc>
              <w:tc>
                <w:tcPr>
                  <w:tcW w:w="910" w:type="dxa"/>
                  <w:noWrap w:val="0"/>
                  <w:vAlign w:val="center"/>
                </w:tcPr>
                <w:p>
                  <w:pPr>
                    <w:jc w:val="center"/>
                    <w:rPr>
                      <w:sz w:val="18"/>
                      <w:szCs w:val="18"/>
                    </w:rPr>
                  </w:pPr>
                  <w:r>
                    <w:rPr>
                      <w:sz w:val="18"/>
                      <w:szCs w:val="18"/>
                    </w:rPr>
                    <w:t>1</w:t>
                  </w:r>
                </w:p>
              </w:tc>
              <w:tc>
                <w:tcPr>
                  <w:tcW w:w="1000" w:type="dxa"/>
                  <w:noWrap w:val="0"/>
                  <w:vAlign w:val="center"/>
                </w:tcPr>
                <w:p>
                  <w:pPr>
                    <w:jc w:val="center"/>
                    <w:rPr>
                      <w:sz w:val="18"/>
                      <w:szCs w:val="18"/>
                    </w:rPr>
                  </w:pPr>
                  <w:r>
                    <w:rPr>
                      <w:sz w:val="18"/>
                      <w:szCs w:val="18"/>
                    </w:rPr>
                    <w:t>废气装置故障</w:t>
                  </w:r>
                </w:p>
              </w:tc>
              <w:tc>
                <w:tcPr>
                  <w:tcW w:w="2194" w:type="dxa"/>
                  <w:noWrap w:val="0"/>
                  <w:vAlign w:val="center"/>
                </w:tcPr>
                <w:p>
                  <w:pPr>
                    <w:jc w:val="center"/>
                    <w:rPr>
                      <w:sz w:val="18"/>
                      <w:szCs w:val="18"/>
                    </w:rPr>
                  </w:pPr>
                  <w:r>
                    <w:rPr>
                      <w:sz w:val="18"/>
                      <w:szCs w:val="18"/>
                    </w:rPr>
                    <w:t>及时停止各工序的生产，根据实际情况实施局部停产或全部停产；紧急联系厂家维修、排查</w:t>
                  </w:r>
                </w:p>
              </w:tc>
            </w:tr>
          </w:tbl>
          <w:p>
            <w:pPr>
              <w:spacing w:line="480" w:lineRule="exact"/>
              <w:ind w:firstLine="420" w:firstLineChars="200"/>
            </w:pPr>
            <w:r>
              <w:t xml:space="preserve">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 </w:t>
            </w:r>
          </w:p>
          <w:p>
            <w:pPr>
              <w:spacing w:line="480" w:lineRule="exact"/>
              <w:ind w:firstLine="420" w:firstLineChars="200"/>
            </w:pPr>
            <w:r>
              <w:t>a 安排专人负责环保设备的日常维护和管理，</w:t>
            </w:r>
            <w:r>
              <w:rPr>
                <w:rFonts w:hint="eastAsia"/>
                <w:lang w:eastAsia="zh-CN"/>
              </w:rPr>
              <w:t>每隔</w:t>
            </w:r>
            <w:r>
              <w:t xml:space="preserve">固定时间检查、汇报情况，及时发现废气处理设备的隐患，确保废气处理系统正常运行； </w:t>
            </w:r>
          </w:p>
          <w:p>
            <w:pPr>
              <w:spacing w:line="480" w:lineRule="exact"/>
              <w:ind w:firstLine="420" w:firstLineChars="200"/>
            </w:pPr>
            <w:r>
              <w:t xml:space="preserve">b 建立健全的环保管理机构，对环保管理人员和技术人员进行岗位培训，委托具有专业资质的环境检测单位对项目排放的各类污染物进行定期检测； </w:t>
            </w:r>
          </w:p>
          <w:p>
            <w:pPr>
              <w:spacing w:line="480" w:lineRule="exact"/>
              <w:ind w:firstLine="420" w:firstLineChars="200"/>
            </w:pPr>
            <w:r>
              <w:t>c 定期维护、检修废气净化装置，以保持废气处理装置的净化能力和净化容量。</w:t>
            </w:r>
          </w:p>
          <w:p>
            <w:pPr>
              <w:spacing w:line="480" w:lineRule="exact"/>
              <w:ind w:firstLine="420" w:firstLineChars="200"/>
            </w:pPr>
            <w:r>
              <w:t xml:space="preserve">3、废气污染防治措施可行性分析 </w:t>
            </w:r>
          </w:p>
          <w:p>
            <w:pPr>
              <w:spacing w:line="480" w:lineRule="exact"/>
              <w:ind w:firstLine="420" w:firstLineChars="200"/>
            </w:pPr>
            <w:r>
              <w:t>（1）废气防治措施</w:t>
            </w:r>
          </w:p>
          <w:p>
            <w:pPr>
              <w:widowControl/>
              <w:spacing w:line="480" w:lineRule="exact"/>
              <w:ind w:firstLine="420" w:firstLineChars="200"/>
              <w:jc w:val="left"/>
            </w:pPr>
            <w:r>
              <w:rPr>
                <w:szCs w:val="21"/>
              </w:rPr>
              <w:t>本项目</w:t>
            </w:r>
            <w:r>
              <w:rPr>
                <w:rFonts w:hint="eastAsia"/>
                <w:szCs w:val="21"/>
              </w:rPr>
              <w:t>吹塑、</w:t>
            </w:r>
            <w:r>
              <w:rPr>
                <w:rFonts w:hint="eastAsia"/>
                <w:szCs w:val="21"/>
                <w:lang w:val="en-US" w:eastAsia="zh-CN"/>
              </w:rPr>
              <w:t>制袋、烫袋</w:t>
            </w:r>
            <w:r>
              <w:rPr>
                <w:szCs w:val="21"/>
              </w:rPr>
              <w:t>工序产生的废气经各产生废气节点侧方或上方集气罩集中收集（捕集率按90%计）后一起通入一套</w:t>
            </w:r>
            <w:r>
              <w:rPr>
                <w:rFonts w:hint="eastAsia"/>
                <w:szCs w:val="21"/>
                <w:lang w:val="en-US" w:eastAsia="zh-CN"/>
              </w:rPr>
              <w:t>二</w:t>
            </w:r>
            <w:r>
              <w:rPr>
                <w:szCs w:val="21"/>
              </w:rPr>
              <w:t>级活性炭吸附装置处理，处理后的废气通过15m高排气筒DA001排放（处理效率按90%计）。</w:t>
            </w:r>
          </w:p>
          <w:p>
            <w:pPr>
              <w:pStyle w:val="8"/>
              <w:spacing w:before="0" w:after="0" w:line="480" w:lineRule="exact"/>
              <w:rPr>
                <w:b/>
                <w:bCs/>
                <w:kern w:val="2"/>
                <w:szCs w:val="18"/>
                <w:highlight w:val="yellow"/>
              </w:rPr>
            </w:pPr>
          </w:p>
          <w:p>
            <w:pPr>
              <w:pStyle w:val="8"/>
              <w:spacing w:before="0" w:after="0" w:line="480" w:lineRule="exact"/>
              <w:jc w:val="center"/>
              <w:rPr>
                <w:b/>
                <w:bCs/>
                <w:kern w:val="2"/>
                <w:szCs w:val="18"/>
                <w:highlight w:val="yellow"/>
              </w:rPr>
            </w:pPr>
          </w:p>
          <w:p>
            <w:pPr>
              <w:pStyle w:val="8"/>
              <w:spacing w:before="0" w:after="0" w:line="480" w:lineRule="exact"/>
              <w:jc w:val="center"/>
              <w:rPr>
                <w:b/>
                <w:bCs/>
                <w:kern w:val="2"/>
                <w:szCs w:val="18"/>
                <w:highlight w:val="yellow"/>
              </w:rPr>
            </w:pPr>
          </w:p>
          <w:p>
            <w:pPr>
              <w:pStyle w:val="8"/>
              <w:spacing w:before="0" w:after="0" w:line="480" w:lineRule="exact"/>
              <w:jc w:val="center"/>
              <w:rPr>
                <w:b/>
                <w:bCs/>
                <w:kern w:val="2"/>
                <w:szCs w:val="18"/>
                <w:highlight w:val="yellow"/>
              </w:rPr>
            </w:pPr>
          </w:p>
          <w:p>
            <w:pPr>
              <w:pStyle w:val="8"/>
              <w:spacing w:before="0" w:after="0" w:line="0" w:lineRule="atLeast"/>
              <w:jc w:val="center"/>
              <w:rPr>
                <w:b/>
                <w:bCs/>
                <w:kern w:val="2"/>
                <w:szCs w:val="18"/>
              </w:rPr>
            </w:pPr>
            <w:r>
              <mc:AlternateContent>
                <mc:Choice Requires="wpc">
                  <w:drawing>
                    <wp:inline distT="0" distB="0" distL="114300" distR="114300">
                      <wp:extent cx="5107940" cy="1027430"/>
                      <wp:effectExtent l="0" t="0" r="0" b="0"/>
                      <wp:docPr id="39" name="画布 39"/>
                      <wp:cNvGraphicFramePr/>
                      <a:graphic xmlns:a="http://schemas.openxmlformats.org/drawingml/2006/main">
                        <a:graphicData uri="http://schemas.microsoft.com/office/word/2010/wordprocessingCanvas">
                          <wpc:wpc>
                            <wpc:bg>
                              <a:noFill/>
                            </wpc:bg>
                            <wpc:whole>
                              <a:ln>
                                <a:noFill/>
                              </a:ln>
                            </wpc:whole>
                            <wps:wsp>
                              <wps:cNvPr id="27" name="文本框 27"/>
                              <wps:cNvSpPr txBox="1"/>
                              <wps:spPr>
                                <a:xfrm>
                                  <a:off x="205740" y="345440"/>
                                  <a:ext cx="1124585" cy="443865"/>
                                </a:xfrm>
                                <a:prstGeom prst="rect">
                                  <a:avLst/>
                                </a:prstGeom>
                                <a:noFill/>
                                <a:ln w="6350" cap="flat" cmpd="sng">
                                  <a:solidFill>
                                    <a:srgbClr val="000000"/>
                                  </a:solidFill>
                                  <a:prstDash val="solid"/>
                                  <a:miter/>
                                  <a:headEnd type="none" w="med" len="med"/>
                                  <a:tailEnd type="none" w="med" len="med"/>
                                </a:ln>
                              </wps:spPr>
                              <wps:txbx>
                                <w:txbxContent>
                                  <w:p>
                                    <w:pPr>
                                      <w:spacing w:line="0" w:lineRule="atLeast"/>
                                      <w:jc w:val="center"/>
                                      <w:rPr>
                                        <w:rFonts w:hint="eastAsia"/>
                                        <w:sz w:val="20"/>
                                        <w:szCs w:val="22"/>
                                      </w:rPr>
                                    </w:pPr>
                                    <w:r>
                                      <w:rPr>
                                        <w:rFonts w:hint="eastAsia"/>
                                        <w:szCs w:val="21"/>
                                      </w:rPr>
                                      <w:t>吹塑、</w:t>
                                    </w:r>
                                    <w:r>
                                      <w:rPr>
                                        <w:rFonts w:hint="eastAsia"/>
                                        <w:szCs w:val="21"/>
                                        <w:lang w:val="en-US" w:eastAsia="zh-CN"/>
                                      </w:rPr>
                                      <w:t>制袋、烫袋</w:t>
                                    </w:r>
                                    <w:r>
                                      <w:rPr>
                                        <w:rFonts w:hint="eastAsia"/>
                                        <w:sz w:val="20"/>
                                        <w:szCs w:val="22"/>
                                      </w:rPr>
                                      <w:t>废气</w:t>
                                    </w:r>
                                  </w:p>
                                </w:txbxContent>
                              </wps:txbx>
                              <wps:bodyPr upright="1"/>
                            </wps:wsp>
                            <wps:wsp>
                              <wps:cNvPr id="30" name="直接连接符 30"/>
                              <wps:cNvCnPr/>
                              <wps:spPr>
                                <a:xfrm>
                                  <a:off x="1345565" y="565785"/>
                                  <a:ext cx="330200" cy="0"/>
                                </a:xfrm>
                                <a:prstGeom prst="line">
                                  <a:avLst/>
                                </a:prstGeom>
                                <a:ln w="6350" cap="flat" cmpd="sng">
                                  <a:solidFill>
                                    <a:srgbClr val="000000"/>
                                  </a:solidFill>
                                  <a:prstDash val="solid"/>
                                  <a:headEnd type="none" w="med" len="med"/>
                                  <a:tailEnd type="triangle" w="med" len="med"/>
                                </a:ln>
                              </wps:spPr>
                              <wps:bodyPr upright="1"/>
                            </wps:wsp>
                            <wps:wsp>
                              <wps:cNvPr id="36" name="文本框 36"/>
                              <wps:cNvSpPr txBox="1"/>
                              <wps:spPr>
                                <a:xfrm>
                                  <a:off x="1677670" y="360045"/>
                                  <a:ext cx="1054100" cy="406400"/>
                                </a:xfrm>
                                <a:prstGeom prst="rect">
                                  <a:avLst/>
                                </a:prstGeom>
                                <a:noFill/>
                                <a:ln w="6350" cap="flat" cmpd="sng">
                                  <a:solidFill>
                                    <a:srgbClr val="000000"/>
                                  </a:solidFill>
                                  <a:prstDash val="solid"/>
                                  <a:miter/>
                                  <a:headEnd type="none" w="med" len="med"/>
                                  <a:tailEnd type="none" w="med" len="med"/>
                                </a:ln>
                              </wps:spPr>
                              <wps:txbx>
                                <w:txbxContent>
                                  <w:p>
                                    <w:pPr>
                                      <w:spacing w:line="0" w:lineRule="atLeast"/>
                                      <w:jc w:val="center"/>
                                      <w:rPr>
                                        <w:rFonts w:hint="eastAsia"/>
                                        <w:sz w:val="20"/>
                                        <w:szCs w:val="22"/>
                                      </w:rPr>
                                    </w:pPr>
                                    <w:r>
                                      <w:rPr>
                                        <w:rFonts w:hint="eastAsia"/>
                                        <w:sz w:val="20"/>
                                        <w:szCs w:val="22"/>
                                      </w:rPr>
                                      <w:t>二级活性炭</w:t>
                                    </w:r>
                                  </w:p>
                                  <w:p>
                                    <w:pPr>
                                      <w:spacing w:line="0" w:lineRule="atLeast"/>
                                      <w:jc w:val="center"/>
                                      <w:rPr>
                                        <w:rFonts w:hint="eastAsia"/>
                                        <w:sz w:val="20"/>
                                        <w:szCs w:val="22"/>
                                      </w:rPr>
                                    </w:pPr>
                                    <w:r>
                                      <w:rPr>
                                        <w:rFonts w:hint="eastAsia"/>
                                        <w:sz w:val="20"/>
                                        <w:szCs w:val="22"/>
                                      </w:rPr>
                                      <w:t>吸附装置</w:t>
                                    </w:r>
                                  </w:p>
                                </w:txbxContent>
                              </wps:txbx>
                              <wps:bodyPr upright="1"/>
                            </wps:wsp>
                            <wps:wsp>
                              <wps:cNvPr id="37" name="直接连接符 37"/>
                              <wps:cNvCnPr/>
                              <wps:spPr>
                                <a:xfrm>
                                  <a:off x="2740660" y="563245"/>
                                  <a:ext cx="330200" cy="0"/>
                                </a:xfrm>
                                <a:prstGeom prst="line">
                                  <a:avLst/>
                                </a:prstGeom>
                                <a:ln w="6350" cap="flat" cmpd="sng">
                                  <a:solidFill>
                                    <a:srgbClr val="000000"/>
                                  </a:solidFill>
                                  <a:prstDash val="solid"/>
                                  <a:headEnd type="none" w="med" len="med"/>
                                  <a:tailEnd type="triangle" w="med" len="med"/>
                                </a:ln>
                              </wps:spPr>
                              <wps:bodyPr upright="1"/>
                            </wps:wsp>
                            <wps:wsp>
                              <wps:cNvPr id="38" name="文本框 38"/>
                              <wps:cNvSpPr txBox="1"/>
                              <wps:spPr>
                                <a:xfrm>
                                  <a:off x="2994660" y="424815"/>
                                  <a:ext cx="1440180" cy="270510"/>
                                </a:xfrm>
                                <a:prstGeom prst="rect">
                                  <a:avLst/>
                                </a:prstGeom>
                                <a:noFill/>
                                <a:ln w="6350">
                                  <a:noFill/>
                                </a:ln>
                              </wps:spPr>
                              <wps:txbx>
                                <w:txbxContent>
                                  <w:p>
                                    <w:pPr>
                                      <w:spacing w:line="0" w:lineRule="atLeast"/>
                                      <w:jc w:val="center"/>
                                      <w:rPr>
                                        <w:rFonts w:hint="eastAsia" w:eastAsia="宋体"/>
                                        <w:sz w:val="20"/>
                                        <w:szCs w:val="22"/>
                                        <w:lang w:val="en-US" w:eastAsia="zh-CN"/>
                                      </w:rPr>
                                    </w:pPr>
                                    <w:r>
                                      <w:rPr>
                                        <w:rFonts w:hint="eastAsia"/>
                                        <w:sz w:val="20"/>
                                        <w:szCs w:val="22"/>
                                      </w:rPr>
                                      <w:t>15m高排气筒DA00</w:t>
                                    </w:r>
                                    <w:r>
                                      <w:rPr>
                                        <w:rFonts w:hint="eastAsia"/>
                                        <w:sz w:val="20"/>
                                        <w:szCs w:val="22"/>
                                        <w:lang w:val="en-US" w:eastAsia="zh-CN"/>
                                      </w:rPr>
                                      <w:t>1</w:t>
                                    </w:r>
                                  </w:p>
                                </w:txbxContent>
                              </wps:txbx>
                              <wps:bodyPr upright="1"/>
                            </wps:wsp>
                          </wpc:wpc>
                        </a:graphicData>
                      </a:graphic>
                    </wp:inline>
                  </w:drawing>
                </mc:Choice>
                <mc:Fallback>
                  <w:pict>
                    <v:group id="_x0000_s1026" o:spid="_x0000_s1026" o:spt="203" style="height:80.9pt;width:402.2pt;" coordsize="5107940,1027430" editas="canvas" o:gfxdata="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HVNhrLWAAAABQEAAA8AAAAAAAAAAQAgAAAAIgAAAGRycy9kb3ducmV2LnhtbFBLAQIU&#10;ABQAAAAIAIdO4kC5ty7WSwMAAOwMAAAOAAAAAAAAAAEAIAAAACUBAABkcnMvZTJvRG9jLnhtbFBL&#10;BQYAAAAABgAGAFkBAADiBgAAAAA=&#10;">
                      <o:lock v:ext="edit" aspectratio="f"/>
                      <v:shape id="_x0000_s1026" o:spid="_x0000_s1026" style="position:absolute;left:0;top:0;height:1027430;width:5107940;" filled="f" stroked="f" coordsize="21600,21600" o:gfxdata="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B1TYay1gAAAAUBAAAPAAAAAAAAAAEAIAAAACIAAABkcnMvZG93bnJldi54bWxQSwECFAAU&#10;AAAACACHTuJAGDWp7BADAABnDAAADgAAAAAAAAABACAAAAAlAQAAZHJzL2Uyb0RvYy54bWxQSwUG&#10;AAAAAAYABgBZAQAApwYAAAAA&#10;">
                        <v:fill on="f" focussize="0,0"/>
                        <v:stroke on="f"/>
                        <v:imagedata o:title=""/>
                        <o:lock v:ext="edit" aspectratio="f"/>
                      </v:shape>
                      <v:shape id="_x0000_s1026" o:spid="_x0000_s1026" o:spt="202" type="#_x0000_t202" style="position:absolute;left:205740;top:345440;height:443865;width:1124585;" filled="f" stroked="t" coordsize="21600,21600" o:gfxdata="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xPvw1gAAAAUBAAAPAAAAAAAAAAEAIAAAACIAAABkcnMvZG93bnJldi54bWxQSwEC&#10;FAAUAAAACACHTuJAkCcj8/YBAADLAwAADgAAAAAAAAABACAAAAAlAQAAZHJzL2Uyb0RvYy54bWxQ&#10;SwUGAAAAAAYABgBZAQAAjQUAAAAA&#10;">
                        <v:fill on="f" focussize="0,0"/>
                        <v:stroke weight="0.5pt" color="#000000" joinstyle="miter"/>
                        <v:imagedata o:title=""/>
                        <o:lock v:ext="edit" aspectratio="f"/>
                        <v:textbox>
                          <w:txbxContent>
                            <w:p>
                              <w:pPr>
                                <w:spacing w:line="0" w:lineRule="atLeast"/>
                                <w:jc w:val="center"/>
                                <w:rPr>
                                  <w:rFonts w:hint="eastAsia"/>
                                  <w:sz w:val="20"/>
                                  <w:szCs w:val="22"/>
                                </w:rPr>
                              </w:pPr>
                              <w:r>
                                <w:rPr>
                                  <w:rFonts w:hint="eastAsia"/>
                                  <w:szCs w:val="21"/>
                                </w:rPr>
                                <w:t>吹塑、</w:t>
                              </w:r>
                              <w:r>
                                <w:rPr>
                                  <w:rFonts w:hint="eastAsia"/>
                                  <w:szCs w:val="21"/>
                                  <w:lang w:val="en-US" w:eastAsia="zh-CN"/>
                                </w:rPr>
                                <w:t>制袋、烫袋</w:t>
                              </w:r>
                              <w:r>
                                <w:rPr>
                                  <w:rFonts w:hint="eastAsia"/>
                                  <w:sz w:val="20"/>
                                  <w:szCs w:val="22"/>
                                </w:rPr>
                                <w:t>废气</w:t>
                              </w:r>
                            </w:p>
                          </w:txbxContent>
                        </v:textbox>
                      </v:shape>
                      <v:line id="_x0000_s1026" o:spid="_x0000_s1026" o:spt="20" style="position:absolute;left:1345565;top:565785;height:0;width:330200;" filled="f" stroked="t" coordsize="21600,21600" o:gfxdata="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0j&#10;lYzVAAAABQEAAA8AAAAAAAAAAQAgAAAAIgAAAGRycy9kb3ducmV2LnhtbFBLAQIUABQAAAAIAIdO&#10;4kBxF5mt7QEAAKYDAAAOAAAAAAAAAAEAIAAAACQBAABkcnMvZTJvRG9jLnhtbFBLBQYAAAAABgAG&#10;AFkBAACDBQAAAAA=&#10;">
                        <v:fill on="f" focussize="0,0"/>
                        <v:stroke weight="0.5pt" color="#000000" joinstyle="round" endarrow="block"/>
                        <v:imagedata o:title=""/>
                        <o:lock v:ext="edit" aspectratio="f"/>
                      </v:line>
                      <v:shape id="_x0000_s1026" o:spid="_x0000_s1026" o:spt="202" type="#_x0000_t202" style="position:absolute;left:1677670;top:360045;height:406400;width:1054100;" filled="f" stroked="t" coordsize="21600,21600" o:gfxdata="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PE+/DWAAAABQEAAA8AAAAAAAAAAQAgAAAAIgAAAGRycy9kb3ducmV2LnhtbFBLAQIUABQA&#10;AAAIAIdO4kBAaDi+8gEAAMwDAAAOAAAAAAAAAAEAIAAAACUBAABkcnMvZTJvRG9jLnhtbFBLBQYA&#10;AAAABgAGAFkBAACJBQAAAAA=&#10;">
                        <v:fill on="f" focussize="0,0"/>
                        <v:stroke weight="0.5pt" color="#000000" joinstyle="miter"/>
                        <v:imagedata o:title=""/>
                        <o:lock v:ext="edit" aspectratio="f"/>
                        <v:textbox>
                          <w:txbxContent>
                            <w:p>
                              <w:pPr>
                                <w:spacing w:line="0" w:lineRule="atLeast"/>
                                <w:jc w:val="center"/>
                                <w:rPr>
                                  <w:rFonts w:hint="eastAsia"/>
                                  <w:sz w:val="20"/>
                                  <w:szCs w:val="22"/>
                                </w:rPr>
                              </w:pPr>
                              <w:r>
                                <w:rPr>
                                  <w:rFonts w:hint="eastAsia"/>
                                  <w:sz w:val="20"/>
                                  <w:szCs w:val="22"/>
                                </w:rPr>
                                <w:t>二级活性炭</w:t>
                              </w:r>
                            </w:p>
                            <w:p>
                              <w:pPr>
                                <w:spacing w:line="0" w:lineRule="atLeast"/>
                                <w:jc w:val="center"/>
                                <w:rPr>
                                  <w:rFonts w:hint="eastAsia"/>
                                  <w:sz w:val="20"/>
                                  <w:szCs w:val="22"/>
                                </w:rPr>
                              </w:pPr>
                              <w:r>
                                <w:rPr>
                                  <w:rFonts w:hint="eastAsia"/>
                                  <w:sz w:val="20"/>
                                  <w:szCs w:val="22"/>
                                </w:rPr>
                                <w:t>吸附装置</w:t>
                              </w:r>
                            </w:p>
                          </w:txbxContent>
                        </v:textbox>
                      </v:shape>
                      <v:line id="_x0000_s1026" o:spid="_x0000_s1026" o:spt="20" style="position:absolute;left:2740660;top:563245;height:0;width:330200;" filled="f" stroked="t" coordsize="21600,21600" o:gfxdata="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SOVjNUAAAAFAQAADwAAAAAAAAABACAAAAAiAAAAZHJzL2Rvd25yZXYueG1sUEsBAhQAFAAAAAgA&#10;h07iQFgTfiTvAQAApgMAAA4AAAAAAAAAAQAgAAAAJAEAAGRycy9lMm9Eb2MueG1sUEsFBgAAAAAG&#10;AAYAWQEAAIUFAAAAAA==&#10;">
                        <v:fill on="f" focussize="0,0"/>
                        <v:stroke weight="0.5pt" color="#000000" joinstyle="round" endarrow="block"/>
                        <v:imagedata o:title=""/>
                        <o:lock v:ext="edit" aspectratio="f"/>
                      </v:line>
                      <v:shape id="_x0000_s1026" o:spid="_x0000_s1026" o:spt="202" type="#_x0000_t202" style="position:absolute;left:2994660;top:424815;height:270510;width:1440180;" filled="f" stroked="f" coordsize="21600,21600" o:gfxdata="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S40M81gAAAAUBAAAPAAAA&#10;AAAAAAEAIAAAACIAAABkcnMvZG93bnJldi54bWxQSwECFAAUAAAACACHTuJA1IZvnKUBAAAWAwAA&#10;DgAAAAAAAAABACAAAAAlAQAAZHJzL2Uyb0RvYy54bWxQSwUGAAAAAAYABgBZAQAAPAUAAAAA&#10;">
                        <v:fill on="f" focussize="0,0"/>
                        <v:stroke on="f" weight="0.5pt"/>
                        <v:imagedata o:title=""/>
                        <o:lock v:ext="edit" aspectratio="f"/>
                        <v:textbox>
                          <w:txbxContent>
                            <w:p>
                              <w:pPr>
                                <w:spacing w:line="0" w:lineRule="atLeast"/>
                                <w:jc w:val="center"/>
                                <w:rPr>
                                  <w:rFonts w:hint="eastAsia" w:eastAsia="宋体"/>
                                  <w:sz w:val="20"/>
                                  <w:szCs w:val="22"/>
                                  <w:lang w:val="en-US" w:eastAsia="zh-CN"/>
                                </w:rPr>
                              </w:pPr>
                              <w:r>
                                <w:rPr>
                                  <w:rFonts w:hint="eastAsia"/>
                                  <w:sz w:val="20"/>
                                  <w:szCs w:val="22"/>
                                </w:rPr>
                                <w:t>15m高排气筒DA00</w:t>
                              </w:r>
                              <w:r>
                                <w:rPr>
                                  <w:rFonts w:hint="eastAsia"/>
                                  <w:sz w:val="20"/>
                                  <w:szCs w:val="22"/>
                                  <w:lang w:val="en-US" w:eastAsia="zh-CN"/>
                                </w:rPr>
                                <w:t>1</w:t>
                              </w:r>
                            </w:p>
                          </w:txbxContent>
                        </v:textbox>
                      </v:shape>
                      <w10:wrap type="none"/>
                      <w10:anchorlock/>
                    </v:group>
                  </w:pict>
                </mc:Fallback>
              </mc:AlternateContent>
            </w:r>
          </w:p>
          <w:p>
            <w:pPr>
              <w:pStyle w:val="8"/>
              <w:spacing w:before="0" w:after="0" w:line="480" w:lineRule="exact"/>
              <w:jc w:val="center"/>
              <w:rPr>
                <w:b/>
                <w:bCs/>
                <w:kern w:val="2"/>
                <w:szCs w:val="18"/>
              </w:rPr>
            </w:pPr>
            <w:r>
              <w:rPr>
                <w:b/>
                <w:bCs/>
                <w:kern w:val="2"/>
                <w:szCs w:val="18"/>
              </w:rPr>
              <w:t>图4-2  项目废气收集、处理、排放示意图</w:t>
            </w:r>
          </w:p>
          <w:p>
            <w:pPr>
              <w:spacing w:line="480" w:lineRule="exact"/>
              <w:ind w:firstLine="422" w:firstLineChars="200"/>
              <w:rPr>
                <w:b/>
                <w:bCs/>
              </w:rPr>
            </w:pPr>
            <w:r>
              <w:rPr>
                <w:rFonts w:hint="eastAsia"/>
                <w:b/>
                <w:bCs/>
                <w:lang w:val="en-US" w:eastAsia="zh-CN"/>
              </w:rPr>
              <w:t>2、</w:t>
            </w:r>
            <w:r>
              <w:rPr>
                <w:b/>
                <w:bCs/>
              </w:rPr>
              <w:t>废气处理可行性分析</w:t>
            </w:r>
          </w:p>
          <w:p>
            <w:pPr>
              <w:spacing w:line="480" w:lineRule="exact"/>
              <w:ind w:firstLine="420" w:firstLineChars="200"/>
            </w:pPr>
            <w:r>
              <w:rPr>
                <w:rFonts w:hint="eastAsia" w:ascii="宋体" w:hAnsi="宋体" w:cs="宋体"/>
              </w:rPr>
              <w:t>①</w:t>
            </w:r>
            <w:r>
              <w:t>废气进入活性炭设施前温度合理性分析</w:t>
            </w:r>
          </w:p>
          <w:p>
            <w:pPr>
              <w:spacing w:line="480" w:lineRule="exact"/>
              <w:ind w:firstLine="420" w:firstLineChars="200"/>
            </w:pPr>
            <w:r>
              <w:t>根据《吸附法工业有机废气治理工程技术规范》（HJ2026-2013），进入废气吸附装置的废气温度宜低于40℃。本项目</w:t>
            </w:r>
            <w:r>
              <w:rPr>
                <w:rFonts w:hint="eastAsia"/>
              </w:rPr>
              <w:t>吹塑、</w:t>
            </w:r>
            <w:r>
              <w:rPr>
                <w:rFonts w:hint="eastAsia"/>
                <w:lang w:val="en-US" w:eastAsia="zh-CN"/>
              </w:rPr>
              <w:t>制袋、烫袋</w:t>
            </w:r>
            <w:r>
              <w:t>工段均采用电加热方式，几股废气收集过程中还会混入部分常温空气，且废气收集管道为金属材质，利于散热，因此进入活性炭吸附装置的废气温度一般低于30℃，符合进入活性炭吸附装置的温度要求。企业可在活性炭装置前安装温度报警装置监控废气温度，若有必要可在活性炭装置前管段上加装冷却降温装置。</w:t>
            </w:r>
          </w:p>
          <w:p>
            <w:pPr>
              <w:widowControl/>
              <w:spacing w:line="480" w:lineRule="exact"/>
              <w:ind w:firstLine="420" w:firstLineChars="200"/>
              <w:jc w:val="left"/>
              <w:rPr>
                <w:kern w:val="0"/>
                <w:szCs w:val="21"/>
                <w:highlight w:val="yellow"/>
                <w:lang w:bidi="ar"/>
              </w:rPr>
            </w:pPr>
            <w:r>
              <w:rPr>
                <w:rFonts w:hint="eastAsia" w:ascii="宋体" w:hAnsi="宋体" w:cs="宋体"/>
              </w:rPr>
              <w:t>②</w:t>
            </w:r>
            <w:r>
              <w:t>废气处理设施风量可行性分析</w:t>
            </w:r>
          </w:p>
          <w:p>
            <w:pPr>
              <w:spacing w:line="480" w:lineRule="exact"/>
              <w:ind w:firstLine="420" w:firstLineChars="200"/>
            </w:pPr>
            <w:r>
              <w:t>本项目设置的集气罩罩口气速要求依据《大气污染控制工程》（2006 年11月第一版，蒋文举、宁平主编）中吸风罩罩口风速规范，详见下表。</w:t>
            </w:r>
          </w:p>
          <w:p>
            <w:pPr>
              <w:spacing w:line="480" w:lineRule="exact"/>
              <w:jc w:val="center"/>
              <w:rPr>
                <w:b/>
                <w:bCs/>
                <w:sz w:val="18"/>
                <w:szCs w:val="18"/>
              </w:rPr>
            </w:pPr>
            <w:r>
              <w:rPr>
                <w:b/>
                <w:bCs/>
                <w:sz w:val="18"/>
                <w:szCs w:val="18"/>
              </w:rPr>
              <w:t>表4-10  吸风罩罩口风速规范要求</w:t>
            </w:r>
          </w:p>
          <w:tbl>
            <w:tblPr>
              <w:tblStyle w:val="21"/>
              <w:tblW w:w="8039" w:type="dxa"/>
              <w:tblInd w:w="5"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2679"/>
              <w:gridCol w:w="2681"/>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79" w:type="dxa"/>
                  <w:noWrap w:val="0"/>
                  <w:vAlign w:val="center"/>
                </w:tcPr>
                <w:p>
                  <w:pPr>
                    <w:jc w:val="center"/>
                    <w:rPr>
                      <w:b/>
                      <w:bCs/>
                      <w:sz w:val="18"/>
                      <w:szCs w:val="18"/>
                    </w:rPr>
                  </w:pPr>
                  <w:r>
                    <w:rPr>
                      <w:b/>
                      <w:bCs/>
                      <w:sz w:val="18"/>
                      <w:szCs w:val="18"/>
                    </w:rPr>
                    <w:t>条件</w:t>
                  </w:r>
                </w:p>
              </w:tc>
              <w:tc>
                <w:tcPr>
                  <w:tcW w:w="2679" w:type="dxa"/>
                  <w:noWrap w:val="0"/>
                  <w:vAlign w:val="center"/>
                </w:tcPr>
                <w:p>
                  <w:pPr>
                    <w:jc w:val="center"/>
                    <w:rPr>
                      <w:b/>
                      <w:bCs/>
                      <w:sz w:val="18"/>
                      <w:szCs w:val="18"/>
                    </w:rPr>
                  </w:pPr>
                  <w:r>
                    <w:rPr>
                      <w:b/>
                      <w:bCs/>
                      <w:sz w:val="18"/>
                      <w:szCs w:val="18"/>
                    </w:rPr>
                    <w:t>举例</w:t>
                  </w:r>
                </w:p>
              </w:tc>
              <w:tc>
                <w:tcPr>
                  <w:tcW w:w="2681" w:type="dxa"/>
                  <w:noWrap w:val="0"/>
                  <w:vAlign w:val="center"/>
                </w:tcPr>
                <w:p>
                  <w:pPr>
                    <w:jc w:val="center"/>
                    <w:rPr>
                      <w:b/>
                      <w:bCs/>
                      <w:sz w:val="18"/>
                      <w:szCs w:val="18"/>
                    </w:rPr>
                  </w:pPr>
                  <w:r>
                    <w:rPr>
                      <w:b/>
                      <w:bCs/>
                      <w:sz w:val="18"/>
                      <w:szCs w:val="18"/>
                    </w:rPr>
                    <w:t>罩口速度m/s</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79" w:type="dxa"/>
                  <w:noWrap w:val="0"/>
                  <w:vAlign w:val="center"/>
                </w:tcPr>
                <w:p>
                  <w:pPr>
                    <w:jc w:val="center"/>
                    <w:rPr>
                      <w:sz w:val="18"/>
                      <w:szCs w:val="18"/>
                    </w:rPr>
                  </w:pPr>
                  <w:r>
                    <w:rPr>
                      <w:sz w:val="18"/>
                      <w:szCs w:val="18"/>
                    </w:rPr>
                    <w:t>速度极低，无气流干扰</w:t>
                  </w:r>
                </w:p>
              </w:tc>
              <w:tc>
                <w:tcPr>
                  <w:tcW w:w="2679" w:type="dxa"/>
                  <w:noWrap w:val="0"/>
                  <w:vAlign w:val="center"/>
                </w:tcPr>
                <w:p>
                  <w:pPr>
                    <w:jc w:val="center"/>
                    <w:rPr>
                      <w:sz w:val="18"/>
                      <w:szCs w:val="18"/>
                    </w:rPr>
                  </w:pPr>
                  <w:r>
                    <w:rPr>
                      <w:sz w:val="18"/>
                      <w:szCs w:val="18"/>
                    </w:rPr>
                    <w:t>液面蒸发、浸槽、造粒</w:t>
                  </w:r>
                </w:p>
              </w:tc>
              <w:tc>
                <w:tcPr>
                  <w:tcW w:w="2681" w:type="dxa"/>
                  <w:noWrap w:val="0"/>
                  <w:vAlign w:val="center"/>
                </w:tcPr>
                <w:p>
                  <w:pPr>
                    <w:jc w:val="center"/>
                    <w:rPr>
                      <w:sz w:val="18"/>
                      <w:szCs w:val="18"/>
                    </w:rPr>
                  </w:pPr>
                  <w:r>
                    <w:rPr>
                      <w:sz w:val="18"/>
                      <w:szCs w:val="18"/>
                    </w:rPr>
                    <w:t>0.25~0.5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79" w:type="dxa"/>
                  <w:noWrap w:val="0"/>
                  <w:vAlign w:val="center"/>
                </w:tcPr>
                <w:p>
                  <w:pPr>
                    <w:jc w:val="center"/>
                    <w:rPr>
                      <w:sz w:val="18"/>
                      <w:szCs w:val="18"/>
                    </w:rPr>
                  </w:pPr>
                  <w:r>
                    <w:rPr>
                      <w:sz w:val="18"/>
                      <w:szCs w:val="18"/>
                    </w:rPr>
                    <w:t>低速飞散，无气流干扰</w:t>
                  </w:r>
                </w:p>
              </w:tc>
              <w:tc>
                <w:tcPr>
                  <w:tcW w:w="2679" w:type="dxa"/>
                  <w:noWrap w:val="0"/>
                  <w:vAlign w:val="center"/>
                </w:tcPr>
                <w:p>
                  <w:pPr>
                    <w:jc w:val="center"/>
                    <w:rPr>
                      <w:sz w:val="18"/>
                      <w:szCs w:val="18"/>
                    </w:rPr>
                  </w:pPr>
                  <w:r>
                    <w:rPr>
                      <w:sz w:val="18"/>
                      <w:szCs w:val="18"/>
                    </w:rPr>
                    <w:t>喷漆箱、酸洗槽、焊接台</w:t>
                  </w:r>
                </w:p>
              </w:tc>
              <w:tc>
                <w:tcPr>
                  <w:tcW w:w="2681" w:type="dxa"/>
                  <w:noWrap w:val="0"/>
                  <w:vAlign w:val="center"/>
                </w:tcPr>
                <w:p>
                  <w:pPr>
                    <w:jc w:val="center"/>
                    <w:rPr>
                      <w:sz w:val="18"/>
                      <w:szCs w:val="18"/>
                    </w:rPr>
                  </w:pPr>
                  <w:r>
                    <w:rPr>
                      <w:sz w:val="18"/>
                      <w:szCs w:val="18"/>
                    </w:rPr>
                    <w:t>0.5~1.0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79" w:type="dxa"/>
                  <w:noWrap w:val="0"/>
                  <w:vAlign w:val="center"/>
                </w:tcPr>
                <w:p>
                  <w:pPr>
                    <w:jc w:val="center"/>
                    <w:rPr>
                      <w:sz w:val="18"/>
                      <w:szCs w:val="18"/>
                    </w:rPr>
                  </w:pPr>
                  <w:r>
                    <w:rPr>
                      <w:sz w:val="18"/>
                      <w:szCs w:val="18"/>
                    </w:rPr>
                    <w:t>快速流动，少气流干扰</w:t>
                  </w:r>
                </w:p>
              </w:tc>
              <w:tc>
                <w:tcPr>
                  <w:tcW w:w="2679" w:type="dxa"/>
                  <w:noWrap w:val="0"/>
                  <w:vAlign w:val="center"/>
                </w:tcPr>
                <w:p>
                  <w:pPr>
                    <w:jc w:val="center"/>
                    <w:rPr>
                      <w:sz w:val="18"/>
                      <w:szCs w:val="18"/>
                    </w:rPr>
                  </w:pPr>
                  <w:r>
                    <w:rPr>
                      <w:sz w:val="18"/>
                      <w:szCs w:val="18"/>
                    </w:rPr>
                    <w:t>破碎机、物料混合、粉料</w:t>
                  </w:r>
                </w:p>
              </w:tc>
              <w:tc>
                <w:tcPr>
                  <w:tcW w:w="2681" w:type="dxa"/>
                  <w:noWrap w:val="0"/>
                  <w:vAlign w:val="center"/>
                </w:tcPr>
                <w:p>
                  <w:pPr>
                    <w:jc w:val="center"/>
                    <w:rPr>
                      <w:sz w:val="18"/>
                      <w:szCs w:val="18"/>
                    </w:rPr>
                  </w:pPr>
                  <w:r>
                    <w:rPr>
                      <w:sz w:val="18"/>
                      <w:szCs w:val="18"/>
                    </w:rPr>
                    <w:t>1.0~2.5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79" w:type="dxa"/>
                  <w:noWrap w:val="0"/>
                  <w:vAlign w:val="center"/>
                </w:tcPr>
                <w:p>
                  <w:pPr>
                    <w:jc w:val="center"/>
                    <w:rPr>
                      <w:sz w:val="18"/>
                      <w:szCs w:val="18"/>
                    </w:rPr>
                  </w:pPr>
                  <w:r>
                    <w:rPr>
                      <w:sz w:val="18"/>
                      <w:szCs w:val="18"/>
                    </w:rPr>
                    <w:t>气流速快，高惯性速度</w:t>
                  </w:r>
                </w:p>
              </w:tc>
              <w:tc>
                <w:tcPr>
                  <w:tcW w:w="2679" w:type="dxa"/>
                  <w:noWrap w:val="0"/>
                  <w:vAlign w:val="center"/>
                </w:tcPr>
                <w:p>
                  <w:pPr>
                    <w:jc w:val="center"/>
                    <w:rPr>
                      <w:sz w:val="18"/>
                      <w:szCs w:val="18"/>
                    </w:rPr>
                  </w:pPr>
                  <w:r>
                    <w:rPr>
                      <w:sz w:val="18"/>
                      <w:szCs w:val="18"/>
                    </w:rPr>
                    <w:t>磨床、喷砂、敞开喷漆</w:t>
                  </w:r>
                </w:p>
              </w:tc>
              <w:tc>
                <w:tcPr>
                  <w:tcW w:w="2681" w:type="dxa"/>
                  <w:noWrap w:val="0"/>
                  <w:vAlign w:val="center"/>
                </w:tcPr>
                <w:p>
                  <w:pPr>
                    <w:jc w:val="center"/>
                    <w:rPr>
                      <w:sz w:val="18"/>
                      <w:szCs w:val="18"/>
                    </w:rPr>
                  </w:pPr>
                  <w:r>
                    <w:rPr>
                      <w:sz w:val="18"/>
                      <w:szCs w:val="18"/>
                    </w:rPr>
                    <w:t>2.5~10</w:t>
                  </w:r>
                </w:p>
              </w:tc>
            </w:tr>
          </w:tbl>
          <w:p>
            <w:pPr>
              <w:widowControl/>
              <w:spacing w:line="480" w:lineRule="exact"/>
              <w:ind w:firstLine="420" w:firstLineChars="200"/>
              <w:jc w:val="left"/>
              <w:rPr>
                <w:kern w:val="0"/>
                <w:szCs w:val="21"/>
                <w:lang w:bidi="ar"/>
              </w:rPr>
            </w:pPr>
            <w:r>
              <w:rPr>
                <w:kern w:val="0"/>
                <w:szCs w:val="21"/>
                <w:lang w:bidi="ar"/>
              </w:rPr>
              <w:t>吸风罩风量排风量Q（m</w:t>
            </w:r>
            <w:r>
              <w:rPr>
                <w:kern w:val="0"/>
                <w:szCs w:val="21"/>
                <w:vertAlign w:val="superscript"/>
                <w:lang w:bidi="ar"/>
              </w:rPr>
              <w:t>3</w:t>
            </w:r>
            <w:r>
              <w:rPr>
                <w:kern w:val="0"/>
                <w:szCs w:val="21"/>
                <w:lang w:bidi="ar"/>
              </w:rPr>
              <w:t xml:space="preserve">/s）的计算公式为： </w:t>
            </w:r>
          </w:p>
          <w:p>
            <w:pPr>
              <w:widowControl/>
              <w:spacing w:line="480" w:lineRule="exact"/>
              <w:jc w:val="center"/>
              <w:rPr>
                <w:kern w:val="0"/>
                <w:szCs w:val="21"/>
                <w:lang w:bidi="ar"/>
              </w:rPr>
            </w:pPr>
            <w:r>
              <w:rPr>
                <w:kern w:val="0"/>
                <w:szCs w:val="21"/>
                <w:lang w:bidi="ar"/>
              </w:rPr>
              <w:t>Q= K·P·H·v</w:t>
            </w:r>
            <w:r>
              <w:rPr>
                <w:kern w:val="0"/>
                <w:szCs w:val="21"/>
                <w:vertAlign w:val="subscript"/>
                <w:lang w:bidi="ar"/>
              </w:rPr>
              <w:t>x</w:t>
            </w:r>
          </w:p>
          <w:p>
            <w:pPr>
              <w:widowControl/>
              <w:spacing w:line="480" w:lineRule="exact"/>
              <w:ind w:firstLine="420" w:firstLineChars="200"/>
              <w:jc w:val="left"/>
              <w:rPr>
                <w:kern w:val="0"/>
                <w:szCs w:val="21"/>
                <w:lang w:bidi="ar"/>
              </w:rPr>
            </w:pPr>
            <w:r>
              <w:rPr>
                <w:kern w:val="0"/>
                <w:szCs w:val="21"/>
                <w:lang w:bidi="ar"/>
              </w:rPr>
              <w:t xml:space="preserve">式中，P——排风罩敞开面的周长，m； </w:t>
            </w:r>
          </w:p>
          <w:p>
            <w:pPr>
              <w:widowControl/>
              <w:spacing w:line="480" w:lineRule="exact"/>
              <w:ind w:firstLine="420" w:firstLineChars="200"/>
              <w:jc w:val="left"/>
              <w:rPr>
                <w:kern w:val="0"/>
                <w:szCs w:val="21"/>
                <w:lang w:bidi="ar"/>
              </w:rPr>
            </w:pPr>
            <w:r>
              <w:rPr>
                <w:kern w:val="0"/>
                <w:szCs w:val="21"/>
                <w:lang w:bidi="ar"/>
              </w:rPr>
              <w:t>H——罩口至有害物源的距离，m，本项目均按135mm计；</w:t>
            </w:r>
          </w:p>
          <w:p>
            <w:pPr>
              <w:widowControl/>
              <w:spacing w:line="480" w:lineRule="exact"/>
              <w:ind w:firstLine="420" w:firstLineChars="200"/>
              <w:jc w:val="left"/>
              <w:rPr>
                <w:kern w:val="0"/>
                <w:szCs w:val="21"/>
                <w:lang w:bidi="ar"/>
              </w:rPr>
            </w:pPr>
            <w:r>
              <w:rPr>
                <w:kern w:val="0"/>
                <w:szCs w:val="21"/>
                <w:lang w:bidi="ar"/>
              </w:rPr>
              <w:t>v</w:t>
            </w:r>
            <w:r>
              <w:rPr>
                <w:kern w:val="0"/>
                <w:szCs w:val="21"/>
                <w:vertAlign w:val="subscript"/>
                <w:lang w:bidi="ar"/>
              </w:rPr>
              <w:t>x</w:t>
            </w:r>
            <w:r>
              <w:rPr>
                <w:kern w:val="0"/>
                <w:szCs w:val="21"/>
                <w:lang w:bidi="ar"/>
              </w:rPr>
              <w:t xml:space="preserve">——边缘控制点的控制风速，m/s； </w:t>
            </w:r>
          </w:p>
          <w:p>
            <w:pPr>
              <w:widowControl/>
              <w:spacing w:line="480" w:lineRule="exact"/>
              <w:ind w:firstLine="420" w:firstLineChars="200"/>
              <w:jc w:val="left"/>
              <w:rPr>
                <w:kern w:val="0"/>
                <w:szCs w:val="21"/>
                <w:lang w:bidi="ar"/>
              </w:rPr>
            </w:pPr>
            <w:r>
              <w:rPr>
                <w:kern w:val="0"/>
                <w:szCs w:val="21"/>
                <w:lang w:bidi="ar"/>
              </w:rPr>
              <w:t>K——考虑沿高度分布不均匀的安全系数，通常取K=1.4。</w:t>
            </w:r>
          </w:p>
          <w:p>
            <w:pPr>
              <w:widowControl/>
              <w:spacing w:line="480" w:lineRule="exact"/>
              <w:ind w:firstLine="420" w:firstLineChars="200"/>
              <w:jc w:val="left"/>
              <w:rPr>
                <w:szCs w:val="21"/>
              </w:rPr>
            </w:pPr>
            <w:r>
              <w:rPr>
                <w:kern w:val="0"/>
                <w:szCs w:val="21"/>
                <w:lang w:bidi="ar"/>
              </w:rPr>
              <w:t>本项目</w:t>
            </w:r>
            <w:r>
              <w:rPr>
                <w:rFonts w:hint="eastAsia"/>
                <w:szCs w:val="21"/>
              </w:rPr>
              <w:t>吹塑、</w:t>
            </w:r>
            <w:r>
              <w:rPr>
                <w:rFonts w:hint="eastAsia" w:ascii="Times New Roman" w:eastAsia="宋体"/>
                <w:szCs w:val="21"/>
                <w:lang w:val="en-US" w:eastAsia="zh-CN"/>
              </w:rPr>
              <w:t>制袋、烫袋</w:t>
            </w:r>
            <w:r>
              <w:rPr>
                <w:kern w:val="0"/>
                <w:szCs w:val="21"/>
                <w:lang w:bidi="ar"/>
              </w:rPr>
              <w:t>工序废气收集装置罩口气速参考表4-10第一项（速度极低，无气流干扰），故</w:t>
            </w:r>
            <w:r>
              <w:rPr>
                <w:rFonts w:hint="eastAsia"/>
                <w:kern w:val="0"/>
                <w:szCs w:val="21"/>
                <w:lang w:eastAsia="zh-CN" w:bidi="ar"/>
              </w:rPr>
              <w:t>在</w:t>
            </w:r>
            <w:r>
              <w:rPr>
                <w:kern w:val="0"/>
                <w:szCs w:val="21"/>
                <w:lang w:bidi="ar"/>
              </w:rPr>
              <w:t xml:space="preserve">保证废气收集率的前提下，罩口气速选择0.3m/s。 </w:t>
            </w:r>
          </w:p>
          <w:p>
            <w:pPr>
              <w:widowControl/>
              <w:spacing w:line="480" w:lineRule="exact"/>
              <w:ind w:firstLine="420" w:firstLineChars="200"/>
              <w:jc w:val="left"/>
              <w:rPr>
                <w:kern w:val="0"/>
                <w:szCs w:val="21"/>
                <w:lang w:bidi="ar"/>
              </w:rPr>
            </w:pPr>
            <w:r>
              <w:rPr>
                <w:kern w:val="0"/>
                <w:szCs w:val="21"/>
                <w:lang w:bidi="ar"/>
              </w:rPr>
              <w:t>本项目拟设置的排气罩敞开面总周长计算：</w:t>
            </w:r>
          </w:p>
          <w:p>
            <w:pPr>
              <w:widowControl/>
              <w:spacing w:line="480" w:lineRule="exact"/>
              <w:ind w:firstLine="420" w:firstLineChars="200"/>
              <w:jc w:val="left"/>
              <w:rPr>
                <w:kern w:val="0"/>
                <w:szCs w:val="21"/>
                <w:lang w:bidi="ar"/>
              </w:rPr>
            </w:pPr>
            <w:r>
              <w:rPr>
                <w:kern w:val="0"/>
                <w:szCs w:val="21"/>
                <w:lang w:bidi="ar"/>
              </w:rPr>
              <w:t>P</w:t>
            </w:r>
            <w:r>
              <w:rPr>
                <w:kern w:val="0"/>
                <w:szCs w:val="21"/>
                <w:vertAlign w:val="subscript"/>
                <w:lang w:bidi="ar"/>
              </w:rPr>
              <w:t>DA001</w:t>
            </w:r>
            <w:r>
              <w:rPr>
                <w:kern w:val="0"/>
                <w:szCs w:val="21"/>
                <w:lang w:bidi="ar"/>
              </w:rPr>
              <w:t>=</w:t>
            </w:r>
            <w:r>
              <w:rPr>
                <w:rFonts w:hint="eastAsia"/>
                <w:kern w:val="0"/>
                <w:szCs w:val="21"/>
                <w:lang w:val="en-US" w:eastAsia="zh-CN" w:bidi="ar"/>
              </w:rPr>
              <w:t>1.5</w:t>
            </w:r>
            <w:r>
              <w:rPr>
                <w:kern w:val="0"/>
                <w:szCs w:val="21"/>
                <w:lang w:bidi="ar"/>
              </w:rPr>
              <w:t>+</w:t>
            </w:r>
            <w:r>
              <w:rPr>
                <w:rFonts w:hint="eastAsia"/>
                <w:kern w:val="0"/>
                <w:szCs w:val="21"/>
                <w:lang w:val="en-US" w:eastAsia="zh-CN" w:bidi="ar"/>
              </w:rPr>
              <w:t>2</w:t>
            </w:r>
            <w:r>
              <w:rPr>
                <w:kern w:val="0"/>
                <w:szCs w:val="21"/>
                <w:lang w:bidi="ar"/>
              </w:rPr>
              <w:t>+2+</w:t>
            </w:r>
            <w:r>
              <w:rPr>
                <w:rFonts w:hint="eastAsia"/>
                <w:kern w:val="0"/>
                <w:szCs w:val="21"/>
                <w:lang w:val="en-US" w:eastAsia="zh-CN" w:bidi="ar"/>
              </w:rPr>
              <w:t>1+2+1</w:t>
            </w:r>
            <w:r>
              <w:rPr>
                <w:kern w:val="0"/>
                <w:szCs w:val="21"/>
                <w:lang w:bidi="ar"/>
              </w:rPr>
              <w:t>==</w:t>
            </w:r>
            <w:r>
              <w:rPr>
                <w:rFonts w:hint="eastAsia"/>
                <w:kern w:val="0"/>
                <w:szCs w:val="21"/>
                <w:lang w:val="en-US" w:eastAsia="zh-CN" w:bidi="ar"/>
              </w:rPr>
              <w:t>9.5</w:t>
            </w:r>
            <w:r>
              <w:rPr>
                <w:kern w:val="0"/>
                <w:szCs w:val="21"/>
                <w:lang w:bidi="ar"/>
              </w:rPr>
              <w:t>m</w:t>
            </w:r>
          </w:p>
          <w:p>
            <w:pPr>
              <w:widowControl/>
              <w:spacing w:line="480" w:lineRule="exact"/>
              <w:ind w:firstLine="420" w:firstLineChars="200"/>
              <w:jc w:val="left"/>
              <w:rPr>
                <w:kern w:val="0"/>
                <w:szCs w:val="21"/>
                <w:lang w:bidi="ar"/>
              </w:rPr>
            </w:pPr>
            <w:r>
              <w:rPr>
                <w:kern w:val="0"/>
                <w:szCs w:val="21"/>
                <w:lang w:bidi="ar"/>
              </w:rPr>
              <w:t xml:space="preserve">需风量计算： </w:t>
            </w:r>
          </w:p>
          <w:p>
            <w:pPr>
              <w:widowControl/>
              <w:spacing w:line="480" w:lineRule="exact"/>
              <w:ind w:firstLine="420" w:firstLineChars="200"/>
              <w:jc w:val="left"/>
              <w:rPr>
                <w:kern w:val="0"/>
                <w:szCs w:val="21"/>
                <w:lang w:bidi="ar"/>
              </w:rPr>
            </w:pPr>
            <w:r>
              <w:rPr>
                <w:kern w:val="0"/>
                <w:szCs w:val="21"/>
                <w:lang w:bidi="ar"/>
              </w:rPr>
              <w:t>Q=1.4×</w:t>
            </w:r>
            <w:r>
              <w:rPr>
                <w:rFonts w:hint="eastAsia"/>
                <w:kern w:val="0"/>
                <w:szCs w:val="21"/>
                <w:lang w:val="en-US" w:eastAsia="zh-CN" w:bidi="ar"/>
              </w:rPr>
              <w:t>9.5</w:t>
            </w:r>
            <w:r>
              <w:rPr>
                <w:kern w:val="0"/>
                <w:szCs w:val="21"/>
                <w:lang w:bidi="ar"/>
              </w:rPr>
              <w:t>×0.135×0.3×3600=</w:t>
            </w:r>
            <w:r>
              <w:rPr>
                <w:rFonts w:hint="eastAsia"/>
                <w:kern w:val="0"/>
                <w:szCs w:val="21"/>
                <w:lang w:val="en-US" w:eastAsia="zh-CN" w:bidi="ar"/>
              </w:rPr>
              <w:t>1939.1</w:t>
            </w:r>
            <w:r>
              <w:rPr>
                <w:kern w:val="0"/>
                <w:szCs w:val="21"/>
                <w:lang w:bidi="ar"/>
              </w:rPr>
              <w:t>m</w:t>
            </w:r>
            <w:r>
              <w:rPr>
                <w:kern w:val="0"/>
                <w:szCs w:val="21"/>
                <w:vertAlign w:val="superscript"/>
                <w:lang w:bidi="ar"/>
              </w:rPr>
              <w:t>3</w:t>
            </w:r>
            <w:r>
              <w:rPr>
                <w:kern w:val="0"/>
                <w:szCs w:val="21"/>
                <w:lang w:bidi="ar"/>
              </w:rPr>
              <w:t>/h，考虑到风量损失，本项目有机废气处理设施设计总风量为</w:t>
            </w:r>
            <w:r>
              <w:rPr>
                <w:rFonts w:hint="eastAsia"/>
                <w:kern w:val="0"/>
                <w:szCs w:val="21"/>
                <w:lang w:val="en-US" w:eastAsia="zh-CN" w:bidi="ar"/>
              </w:rPr>
              <w:t>3000</w:t>
            </w:r>
            <w:r>
              <w:rPr>
                <w:kern w:val="0"/>
                <w:szCs w:val="21"/>
                <w:lang w:bidi="ar"/>
              </w:rPr>
              <w:t>m</w:t>
            </w:r>
            <w:r>
              <w:rPr>
                <w:kern w:val="0"/>
                <w:szCs w:val="21"/>
                <w:vertAlign w:val="superscript"/>
                <w:lang w:bidi="ar"/>
              </w:rPr>
              <w:t>3</w:t>
            </w:r>
            <w:r>
              <w:rPr>
                <w:kern w:val="0"/>
                <w:szCs w:val="21"/>
                <w:lang w:bidi="ar"/>
              </w:rPr>
              <w:t>/h。</w:t>
            </w:r>
          </w:p>
          <w:p>
            <w:pPr>
              <w:widowControl/>
              <w:spacing w:line="480" w:lineRule="exact"/>
              <w:ind w:firstLine="420" w:firstLineChars="200"/>
              <w:jc w:val="left"/>
              <w:rPr>
                <w:szCs w:val="21"/>
              </w:rPr>
            </w:pPr>
            <w:r>
              <w:rPr>
                <w:rFonts w:hint="eastAsia" w:ascii="宋体" w:hAnsi="宋体" w:cs="宋体"/>
                <w:kern w:val="0"/>
                <w:szCs w:val="21"/>
                <w:lang w:bidi="ar"/>
              </w:rPr>
              <w:t>③</w:t>
            </w:r>
            <w:r>
              <w:rPr>
                <w:kern w:val="0"/>
                <w:szCs w:val="21"/>
                <w:lang w:bidi="ar"/>
              </w:rPr>
              <w:t xml:space="preserve">废气处理设施技术可行性论证： </w:t>
            </w:r>
          </w:p>
          <w:p>
            <w:pPr>
              <w:widowControl/>
              <w:spacing w:line="480" w:lineRule="exact"/>
              <w:ind w:firstLine="420" w:firstLineChars="200"/>
              <w:jc w:val="left"/>
              <w:rPr>
                <w:kern w:val="0"/>
                <w:szCs w:val="21"/>
                <w:lang w:bidi="ar"/>
              </w:rPr>
            </w:pPr>
            <w:r>
              <w:rPr>
                <w:kern w:val="0"/>
                <w:szCs w:val="21"/>
                <w:lang w:bidi="ar"/>
              </w:rPr>
              <w:t>a.拟采取的废气处理设施原理介绍</w:t>
            </w:r>
          </w:p>
          <w:p>
            <w:pPr>
              <w:widowControl/>
              <w:spacing w:line="480" w:lineRule="exact"/>
              <w:ind w:firstLine="422" w:firstLineChars="200"/>
              <w:jc w:val="left"/>
              <w:rPr>
                <w:szCs w:val="21"/>
              </w:rPr>
            </w:pPr>
            <w:r>
              <w:rPr>
                <w:b/>
                <w:bCs/>
                <w:kern w:val="0"/>
                <w:szCs w:val="21"/>
                <w:lang w:bidi="ar"/>
              </w:rPr>
              <w:t xml:space="preserve">二级活性炭吸附装置 </w:t>
            </w:r>
          </w:p>
          <w:p>
            <w:pPr>
              <w:widowControl/>
              <w:spacing w:line="480" w:lineRule="exact"/>
              <w:ind w:firstLine="420" w:firstLineChars="200"/>
              <w:jc w:val="left"/>
              <w:rPr>
                <w:kern w:val="0"/>
                <w:szCs w:val="21"/>
                <w:lang w:bidi="ar"/>
              </w:rPr>
            </w:pPr>
            <w:r>
              <w:rPr>
                <w:kern w:val="0"/>
                <w:szCs w:val="21"/>
                <w:lang w:bidi="ar"/>
              </w:rPr>
              <w:t xml:space="preserve">活性炭是一种非常优良的吸附剂，它是利用木炭、各种果壳和优质煤等作为原料，通过物理和化学方法对原料进行破碎、过筛、催化剂活化、漂洗、烘干和筛选等一系列工序加工制造而成。活性炭具有物理吸附和化学吸附的双重特性，可以有选择的吸附气相、液相中的各种物质，以达到脱色精制、消毒除臭和去污提纯等目的。活性炭吸附法就是利用活性炭作为物理吸附剂，把焊接过程中产生的有害物质成分，在固相表面进行浓缩，从而使废气得到净化治理。这个吸附过程是在固相—气相间界面发生的物理过程。     </w:t>
            </w:r>
          </w:p>
          <w:p>
            <w:pPr>
              <w:widowControl/>
              <w:spacing w:line="480" w:lineRule="exact"/>
              <w:ind w:firstLine="420" w:firstLineChars="200"/>
              <w:jc w:val="left"/>
              <w:rPr>
                <w:szCs w:val="21"/>
              </w:rPr>
            </w:pPr>
            <w:r>
              <w:rPr>
                <w:kern w:val="0"/>
                <w:szCs w:val="21"/>
                <w:lang w:bidi="ar"/>
              </w:rPr>
              <w:t>随着活性炭的吸附过程，阻力随之缓慢增加，当活性炭吸附饱和时，阻力达到最大值，此后的净化效率基本失去。工程实践表明，活性炭吸附装置对二甲苯、甲苯及醋酸丁酯等有机气体的去除效率可达7</w:t>
            </w:r>
            <w:r>
              <w:rPr>
                <w:rFonts w:hint="default" w:ascii="Times New Roman" w:hAnsi="Times New Roman" w:cs="Times New Roman"/>
                <w:kern w:val="0"/>
                <w:szCs w:val="21"/>
                <w:lang w:bidi="ar"/>
              </w:rPr>
              <w:t>0</w:t>
            </w:r>
            <w:r>
              <w:rPr>
                <w:rFonts w:hint="default" w:ascii="Times New Roman" w:hAnsi="Times New Roman" w:eastAsia="宋体" w:cs="Times New Roman"/>
                <w:kern w:val="0"/>
                <w:szCs w:val="21"/>
                <w:lang w:bidi="ar"/>
              </w:rPr>
              <w:t>％</w:t>
            </w:r>
            <w:r>
              <w:rPr>
                <w:rFonts w:hint="default" w:ascii="Times New Roman" w:hAnsi="Times New Roman" w:cs="Times New Roman"/>
                <w:kern w:val="0"/>
                <w:szCs w:val="21"/>
                <w:lang w:bidi="ar"/>
              </w:rPr>
              <w:t>以</w:t>
            </w:r>
            <w:r>
              <w:rPr>
                <w:kern w:val="0"/>
                <w:szCs w:val="21"/>
                <w:lang w:bidi="ar"/>
              </w:rPr>
              <w:t xml:space="preserve">上。 </w:t>
            </w:r>
          </w:p>
          <w:p>
            <w:pPr>
              <w:widowControl/>
              <w:spacing w:line="480" w:lineRule="exact"/>
              <w:ind w:firstLine="420" w:firstLineChars="200"/>
              <w:jc w:val="left"/>
              <w:rPr>
                <w:kern w:val="0"/>
                <w:szCs w:val="21"/>
                <w:lang w:bidi="ar"/>
              </w:rPr>
            </w:pPr>
            <w:r>
              <w:rPr>
                <w:kern w:val="0"/>
                <w:szCs w:val="21"/>
                <w:lang w:bidi="ar"/>
              </w:rPr>
              <w:t>根据江苏省</w:t>
            </w:r>
            <w:r>
              <w:t>《省生态环境厅关于深入开展涉VOCs治理重点工作入户核查的通知》，采用一次性</w:t>
            </w:r>
            <w:r>
              <w:rPr>
                <w:rFonts w:hint="eastAsia"/>
                <w:lang w:val="en-US" w:eastAsia="zh-CN"/>
              </w:rPr>
              <w:t>蜂窝状</w:t>
            </w:r>
            <w:r>
              <w:t>活性炭处理VOCs废气，年活性炭使用量不应低于VOCs产生量的</w:t>
            </w:r>
            <w:r>
              <w:rPr>
                <w:rFonts w:hint="eastAsia"/>
                <w:lang w:val="en-US" w:eastAsia="zh-CN"/>
              </w:rPr>
              <w:t>10</w:t>
            </w:r>
            <w:r>
              <w:t>倍，即1吨VOCs产生量需使用</w:t>
            </w:r>
            <w:r>
              <w:rPr>
                <w:rFonts w:hint="eastAsia"/>
                <w:lang w:val="en-US" w:eastAsia="zh-CN"/>
              </w:rPr>
              <w:t>10</w:t>
            </w:r>
            <w:r>
              <w:t>吨活性炭进行吸附。</w:t>
            </w:r>
            <w:r>
              <w:rPr>
                <w:rFonts w:hint="eastAsia"/>
                <w:szCs w:val="21"/>
              </w:rPr>
              <w:t>吹塑、</w:t>
            </w:r>
            <w:r>
              <w:rPr>
                <w:rFonts w:hint="eastAsia"/>
                <w:szCs w:val="21"/>
                <w:lang w:val="en-US" w:eastAsia="zh-CN"/>
              </w:rPr>
              <w:t>制袋、烫袋</w:t>
            </w:r>
            <w:r>
              <w:rPr>
                <w:kern w:val="0"/>
                <w:szCs w:val="21"/>
                <w:lang w:bidi="ar"/>
              </w:rPr>
              <w:t>工序产生的废气经各产生废气节点侧方或上方集气罩集中收集后一起通入一套</w:t>
            </w:r>
            <w:r>
              <w:rPr>
                <w:rFonts w:hint="eastAsia"/>
                <w:kern w:val="0"/>
                <w:szCs w:val="21"/>
                <w:lang w:val="en-US" w:eastAsia="zh-CN" w:bidi="ar"/>
              </w:rPr>
              <w:t>二级</w:t>
            </w:r>
            <w:r>
              <w:rPr>
                <w:kern w:val="0"/>
                <w:szCs w:val="21"/>
                <w:lang w:bidi="ar"/>
              </w:rPr>
              <w:t>活性炭吸附装置处理，处理后的废气通过15m高排气筒DA001排放。本项目有机废气经过活性炭吸附掉的废气总量为</w:t>
            </w:r>
            <w:r>
              <w:rPr>
                <w:rFonts w:hint="eastAsia"/>
                <w:kern w:val="0"/>
                <w:szCs w:val="21"/>
                <w:lang w:val="en-US" w:eastAsia="zh-CN" w:bidi="ar"/>
              </w:rPr>
              <w:t>0.10125</w:t>
            </w:r>
            <w:r>
              <w:rPr>
                <w:kern w:val="0"/>
                <w:szCs w:val="21"/>
                <w:lang w:bidi="ar"/>
              </w:rPr>
              <w:t>t/a，有机废气处理需活性炭约</w:t>
            </w:r>
            <w:r>
              <w:rPr>
                <w:rFonts w:hint="eastAsia"/>
                <w:kern w:val="0"/>
                <w:szCs w:val="21"/>
                <w:lang w:val="en-US" w:eastAsia="zh-CN" w:bidi="ar"/>
              </w:rPr>
              <w:t>1.0125</w:t>
            </w:r>
            <w:r>
              <w:rPr>
                <w:kern w:val="0"/>
                <w:szCs w:val="21"/>
                <w:lang w:bidi="ar"/>
              </w:rPr>
              <w:t>t/a，废活性炭产生量约为</w:t>
            </w:r>
            <w:r>
              <w:rPr>
                <w:rFonts w:hint="eastAsia"/>
                <w:kern w:val="0"/>
                <w:szCs w:val="21"/>
                <w:lang w:val="en-US" w:eastAsia="zh-CN" w:bidi="ar"/>
              </w:rPr>
              <w:t>1.114</w:t>
            </w:r>
            <w:r>
              <w:rPr>
                <w:kern w:val="0"/>
                <w:szCs w:val="21"/>
                <w:lang w:bidi="ar"/>
              </w:rPr>
              <w:t>t/a。更换下的废活性炭委托给有资质的单位进行处理。有资质的危废单位运走废活性炭前需在该厂内暂存，暂存必须符合危险废物暂存要求，废活性炭须存放在密闭的桶内，防止仍带有温度的活性炭吸附的有机废气解析挥发出来，并且危废暂存间应做好防雨、防渗漏措施，外水等不得入内，避免对环境产生二次污染。</w:t>
            </w:r>
          </w:p>
          <w:p>
            <w:pPr>
              <w:widowControl/>
              <w:spacing w:line="480" w:lineRule="exact"/>
              <w:ind w:firstLine="420" w:firstLineChars="200"/>
              <w:jc w:val="left"/>
              <w:rPr>
                <w:szCs w:val="21"/>
              </w:rPr>
            </w:pPr>
            <w:r>
              <w:rPr>
                <w:szCs w:val="21"/>
              </w:rPr>
              <w:t>活性炭吸附装置主要设计参数见下表4-11。</w:t>
            </w:r>
          </w:p>
          <w:p>
            <w:pPr>
              <w:widowControl/>
              <w:spacing w:line="480" w:lineRule="exact"/>
              <w:jc w:val="center"/>
            </w:pPr>
            <w:r>
              <w:rPr>
                <w:b/>
                <w:bCs/>
                <w:sz w:val="18"/>
                <w:szCs w:val="18"/>
              </w:rPr>
              <w:t>表4-11  活性炭吸附装置主要设计参数一览表</w:t>
            </w:r>
          </w:p>
          <w:tbl>
            <w:tblPr>
              <w:tblStyle w:val="21"/>
              <w:tblW w:w="8044" w:type="dxa"/>
              <w:tblInd w:w="5"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644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01" w:type="dxa"/>
                  <w:noWrap w:val="0"/>
                  <w:vAlign w:val="center"/>
                </w:tcPr>
                <w:p>
                  <w:pPr>
                    <w:pStyle w:val="58"/>
                    <w:widowControl w:val="0"/>
                    <w:spacing w:line="240" w:lineRule="auto"/>
                    <w:ind w:firstLine="0" w:firstLineChars="0"/>
                    <w:jc w:val="center"/>
                    <w:rPr>
                      <w:rFonts w:ascii="Times New Roman" w:hAnsi="Times New Roman" w:eastAsia="宋体"/>
                      <w:b/>
                      <w:bCs/>
                      <w:kern w:val="0"/>
                      <w:sz w:val="18"/>
                      <w:szCs w:val="18"/>
                      <w:lang w:bidi="ar"/>
                    </w:rPr>
                  </w:pPr>
                  <w:r>
                    <w:rPr>
                      <w:rFonts w:ascii="Times New Roman" w:hAnsi="Times New Roman" w:eastAsia="宋体"/>
                      <w:b/>
                      <w:bCs/>
                      <w:kern w:val="0"/>
                      <w:sz w:val="18"/>
                      <w:szCs w:val="18"/>
                      <w:lang w:bidi="ar"/>
                    </w:rPr>
                    <w:t>参数名称</w:t>
                  </w:r>
                </w:p>
              </w:tc>
              <w:tc>
                <w:tcPr>
                  <w:tcW w:w="6443" w:type="dxa"/>
                  <w:noWrap w:val="0"/>
                  <w:vAlign w:val="center"/>
                </w:tcPr>
                <w:p>
                  <w:pPr>
                    <w:pStyle w:val="58"/>
                    <w:widowControl w:val="0"/>
                    <w:spacing w:line="240" w:lineRule="auto"/>
                    <w:ind w:firstLine="0" w:firstLineChars="0"/>
                    <w:jc w:val="center"/>
                    <w:rPr>
                      <w:rFonts w:ascii="Times New Roman" w:hAnsi="Times New Roman" w:eastAsia="宋体"/>
                      <w:b/>
                      <w:bCs/>
                      <w:kern w:val="0"/>
                      <w:sz w:val="18"/>
                      <w:szCs w:val="18"/>
                      <w:lang w:bidi="ar"/>
                    </w:rPr>
                  </w:pPr>
                  <w:r>
                    <w:rPr>
                      <w:rFonts w:ascii="Times New Roman" w:hAnsi="Times New Roman" w:eastAsia="宋体"/>
                      <w:b/>
                      <w:bCs/>
                      <w:kern w:val="0"/>
                      <w:sz w:val="18"/>
                      <w:szCs w:val="18"/>
                      <w:lang w:bidi="ar"/>
                    </w:rPr>
                    <w:t>技术参数值</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01"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设计风量（m</w:t>
                  </w:r>
                  <w:r>
                    <w:rPr>
                      <w:rFonts w:ascii="Times New Roman" w:hAnsi="Times New Roman" w:eastAsia="宋体"/>
                      <w:kern w:val="0"/>
                      <w:sz w:val="18"/>
                      <w:szCs w:val="18"/>
                      <w:vertAlign w:val="superscript"/>
                      <w:lang w:bidi="ar"/>
                    </w:rPr>
                    <w:t>3</w:t>
                  </w:r>
                  <w:r>
                    <w:rPr>
                      <w:rFonts w:ascii="Times New Roman" w:hAnsi="Times New Roman" w:eastAsia="宋体"/>
                      <w:kern w:val="0"/>
                      <w:sz w:val="18"/>
                      <w:szCs w:val="18"/>
                      <w:lang w:bidi="ar"/>
                    </w:rPr>
                    <w:t>/h）</w:t>
                  </w:r>
                </w:p>
              </w:tc>
              <w:tc>
                <w:tcPr>
                  <w:tcW w:w="6443" w:type="dxa"/>
                  <w:noWrap w:val="0"/>
                  <w:vAlign w:val="center"/>
                </w:tcPr>
                <w:p>
                  <w:pPr>
                    <w:pStyle w:val="58"/>
                    <w:widowControl w:val="0"/>
                    <w:spacing w:line="240" w:lineRule="auto"/>
                    <w:ind w:firstLine="0" w:firstLineChars="0"/>
                    <w:jc w:val="center"/>
                    <w:rPr>
                      <w:rFonts w:hint="default" w:ascii="Times New Roman" w:hAnsi="Times New Roman" w:eastAsia="宋体"/>
                      <w:kern w:val="0"/>
                      <w:sz w:val="18"/>
                      <w:szCs w:val="18"/>
                      <w:lang w:val="en-US" w:eastAsia="zh-CN" w:bidi="ar"/>
                    </w:rPr>
                  </w:pPr>
                  <w:r>
                    <w:rPr>
                      <w:rFonts w:hint="eastAsia" w:ascii="Times New Roman" w:hAnsi="Times New Roman" w:eastAsia="宋体"/>
                      <w:kern w:val="0"/>
                      <w:sz w:val="18"/>
                      <w:szCs w:val="18"/>
                      <w:lang w:val="en-US" w:eastAsia="zh-CN" w:bidi="ar"/>
                    </w:rPr>
                    <w:t>3000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01"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设备尺寸（mm）</w:t>
                  </w:r>
                </w:p>
              </w:tc>
              <w:tc>
                <w:tcPr>
                  <w:tcW w:w="6443"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一级：长</w:t>
                  </w:r>
                  <w:r>
                    <w:rPr>
                      <w:rFonts w:hint="eastAsia" w:ascii="Times New Roman" w:hAnsi="Times New Roman" w:eastAsia="宋体"/>
                      <w:kern w:val="0"/>
                      <w:sz w:val="18"/>
                      <w:szCs w:val="18"/>
                      <w:lang w:val="en-US" w:eastAsia="zh-CN" w:bidi="ar"/>
                    </w:rPr>
                    <w:t>150</w:t>
                  </w:r>
                  <w:r>
                    <w:rPr>
                      <w:rFonts w:ascii="Times New Roman" w:hAnsi="Times New Roman" w:eastAsia="宋体"/>
                      <w:kern w:val="0"/>
                      <w:sz w:val="18"/>
                      <w:szCs w:val="18"/>
                      <w:lang w:bidi="ar"/>
                    </w:rPr>
                    <w:t>0×宽</w:t>
                  </w:r>
                  <w:r>
                    <w:rPr>
                      <w:rFonts w:hint="eastAsia" w:ascii="Times New Roman" w:hAnsi="Times New Roman" w:eastAsia="宋体"/>
                      <w:kern w:val="0"/>
                      <w:sz w:val="18"/>
                      <w:szCs w:val="18"/>
                      <w:lang w:val="en-US" w:eastAsia="zh-CN" w:bidi="ar"/>
                    </w:rPr>
                    <w:t>1000</w:t>
                  </w:r>
                  <w:r>
                    <w:rPr>
                      <w:rFonts w:ascii="Times New Roman" w:hAnsi="Times New Roman" w:eastAsia="宋体"/>
                      <w:kern w:val="0"/>
                      <w:sz w:val="18"/>
                      <w:szCs w:val="18"/>
                      <w:lang w:bidi="ar"/>
                    </w:rPr>
                    <w:t>×高</w:t>
                  </w:r>
                  <w:r>
                    <w:rPr>
                      <w:rFonts w:hint="eastAsia" w:ascii="Times New Roman" w:hAnsi="Times New Roman" w:eastAsia="宋体"/>
                      <w:kern w:val="0"/>
                      <w:sz w:val="18"/>
                      <w:szCs w:val="18"/>
                      <w:lang w:val="en-US" w:eastAsia="zh-CN" w:bidi="ar"/>
                    </w:rPr>
                    <w:t>1500</w:t>
                  </w:r>
                  <w:r>
                    <w:rPr>
                      <w:rFonts w:ascii="Times New Roman" w:hAnsi="Times New Roman" w:eastAsia="宋体"/>
                      <w:kern w:val="0"/>
                      <w:sz w:val="18"/>
                      <w:szCs w:val="18"/>
                      <w:lang w:bidi="ar"/>
                    </w:rPr>
                    <w:t>，二级：长</w:t>
                  </w:r>
                  <w:r>
                    <w:rPr>
                      <w:rFonts w:hint="eastAsia" w:ascii="Times New Roman" w:hAnsi="Times New Roman" w:eastAsia="宋体"/>
                      <w:kern w:val="0"/>
                      <w:sz w:val="18"/>
                      <w:szCs w:val="18"/>
                      <w:lang w:val="en-US" w:eastAsia="zh-CN" w:bidi="ar"/>
                    </w:rPr>
                    <w:t>150</w:t>
                  </w:r>
                  <w:r>
                    <w:rPr>
                      <w:rFonts w:ascii="Times New Roman" w:hAnsi="Times New Roman" w:eastAsia="宋体"/>
                      <w:kern w:val="0"/>
                      <w:sz w:val="18"/>
                      <w:szCs w:val="18"/>
                      <w:lang w:bidi="ar"/>
                    </w:rPr>
                    <w:t>0×宽</w:t>
                  </w:r>
                  <w:r>
                    <w:rPr>
                      <w:rFonts w:hint="eastAsia" w:ascii="Times New Roman" w:hAnsi="Times New Roman" w:eastAsia="宋体"/>
                      <w:kern w:val="0"/>
                      <w:sz w:val="18"/>
                      <w:szCs w:val="18"/>
                      <w:lang w:val="en-US" w:eastAsia="zh-CN" w:bidi="ar"/>
                    </w:rPr>
                    <w:t>1000</w:t>
                  </w:r>
                  <w:r>
                    <w:rPr>
                      <w:rFonts w:ascii="Times New Roman" w:hAnsi="Times New Roman" w:eastAsia="宋体"/>
                      <w:kern w:val="0"/>
                      <w:sz w:val="18"/>
                      <w:szCs w:val="18"/>
                      <w:lang w:bidi="ar"/>
                    </w:rPr>
                    <w:t>×高</w:t>
                  </w:r>
                  <w:r>
                    <w:rPr>
                      <w:rFonts w:hint="eastAsia" w:ascii="Times New Roman" w:hAnsi="Times New Roman" w:eastAsia="宋体"/>
                      <w:kern w:val="0"/>
                      <w:sz w:val="18"/>
                      <w:szCs w:val="18"/>
                      <w:lang w:val="en-US" w:eastAsia="zh-CN" w:bidi="ar"/>
                    </w:rPr>
                    <w:t>1500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01"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结构形式</w:t>
                  </w:r>
                </w:p>
              </w:tc>
              <w:tc>
                <w:tcPr>
                  <w:tcW w:w="6443" w:type="dxa"/>
                  <w:noWrap w:val="0"/>
                  <w:vAlign w:val="center"/>
                </w:tcPr>
                <w:p>
                  <w:pPr>
                    <w:pStyle w:val="58"/>
                    <w:widowControl w:val="0"/>
                    <w:spacing w:line="240" w:lineRule="auto"/>
                    <w:ind w:firstLine="0" w:firstLineChars="0"/>
                    <w:jc w:val="center"/>
                    <w:rPr>
                      <w:rFonts w:hint="eastAsia" w:ascii="Times New Roman" w:hAnsi="Times New Roman" w:eastAsia="宋体"/>
                      <w:kern w:val="0"/>
                      <w:sz w:val="18"/>
                      <w:szCs w:val="18"/>
                      <w:lang w:eastAsia="zh-CN" w:bidi="ar"/>
                    </w:rPr>
                  </w:pPr>
                  <w:r>
                    <w:rPr>
                      <w:rFonts w:ascii="Times New Roman" w:hAnsi="Times New Roman" w:eastAsia="宋体"/>
                      <w:kern w:val="0"/>
                      <w:sz w:val="18"/>
                      <w:szCs w:val="18"/>
                      <w:lang w:bidi="ar"/>
                    </w:rPr>
                    <w:t>抽屉式/</w:t>
                  </w:r>
                  <w:r>
                    <w:rPr>
                      <w:rFonts w:hint="eastAsia" w:ascii="Times New Roman" w:hAnsi="Times New Roman" w:eastAsia="宋体"/>
                      <w:kern w:val="0"/>
                      <w:sz w:val="18"/>
                      <w:szCs w:val="18"/>
                      <w:lang w:val="en-US" w:eastAsia="zh-CN" w:bidi="ar"/>
                    </w:rPr>
                    <w:t>蜂窝</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01"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堆积密度（g/cm</w:t>
                  </w:r>
                  <w:r>
                    <w:rPr>
                      <w:rFonts w:ascii="Times New Roman" w:hAnsi="Times New Roman" w:eastAsia="宋体"/>
                      <w:kern w:val="0"/>
                      <w:sz w:val="18"/>
                      <w:szCs w:val="18"/>
                      <w:vertAlign w:val="superscript"/>
                      <w:lang w:bidi="ar"/>
                    </w:rPr>
                    <w:t>3</w:t>
                  </w:r>
                  <w:r>
                    <w:rPr>
                      <w:rFonts w:ascii="Times New Roman" w:hAnsi="Times New Roman" w:eastAsia="宋体"/>
                      <w:kern w:val="0"/>
                      <w:sz w:val="18"/>
                      <w:szCs w:val="18"/>
                      <w:lang w:bidi="ar"/>
                    </w:rPr>
                    <w:t>）</w:t>
                  </w:r>
                </w:p>
              </w:tc>
              <w:tc>
                <w:tcPr>
                  <w:tcW w:w="6443" w:type="dxa"/>
                  <w:noWrap w:val="0"/>
                  <w:vAlign w:val="center"/>
                </w:tcPr>
                <w:p>
                  <w:pPr>
                    <w:pStyle w:val="58"/>
                    <w:widowControl w:val="0"/>
                    <w:spacing w:line="240" w:lineRule="auto"/>
                    <w:ind w:firstLine="0" w:firstLineChars="0"/>
                    <w:jc w:val="center"/>
                    <w:rPr>
                      <w:rFonts w:hint="eastAsia" w:ascii="Times New Roman" w:hAnsi="Times New Roman" w:eastAsia="宋体"/>
                      <w:kern w:val="0"/>
                      <w:sz w:val="18"/>
                      <w:szCs w:val="18"/>
                      <w:lang w:eastAsia="zh-CN" w:bidi="ar"/>
                    </w:rPr>
                  </w:pPr>
                  <w:r>
                    <w:rPr>
                      <w:rFonts w:ascii="Times New Roman" w:hAnsi="Times New Roman" w:eastAsia="宋体"/>
                      <w:kern w:val="0"/>
                      <w:sz w:val="18"/>
                      <w:szCs w:val="18"/>
                      <w:lang w:bidi="ar"/>
                    </w:rPr>
                    <w:t>0.</w:t>
                  </w:r>
                  <w:r>
                    <w:rPr>
                      <w:rFonts w:hint="eastAsia" w:ascii="Times New Roman" w:hAnsi="Times New Roman" w:eastAsia="宋体"/>
                      <w:kern w:val="0"/>
                      <w:sz w:val="18"/>
                      <w:szCs w:val="18"/>
                      <w:lang w:val="en-US" w:eastAsia="zh-CN" w:bidi="ar"/>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01"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比表面积（m</w:t>
                  </w:r>
                  <w:r>
                    <w:rPr>
                      <w:rFonts w:ascii="Times New Roman" w:hAnsi="Times New Roman" w:eastAsia="宋体"/>
                      <w:kern w:val="0"/>
                      <w:sz w:val="18"/>
                      <w:szCs w:val="18"/>
                      <w:vertAlign w:val="superscript"/>
                      <w:lang w:bidi="ar"/>
                    </w:rPr>
                    <w:t>2</w:t>
                  </w:r>
                  <w:r>
                    <w:rPr>
                      <w:rFonts w:ascii="Times New Roman" w:hAnsi="Times New Roman" w:eastAsia="宋体"/>
                      <w:kern w:val="0"/>
                      <w:sz w:val="18"/>
                      <w:szCs w:val="18"/>
                      <w:lang w:bidi="ar"/>
                    </w:rPr>
                    <w:t>/g）</w:t>
                  </w:r>
                </w:p>
              </w:tc>
              <w:tc>
                <w:tcPr>
                  <w:tcW w:w="6443"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700~1500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01" w:type="dxa"/>
                  <w:noWrap w:val="0"/>
                  <w:vAlign w:val="center"/>
                </w:tcPr>
                <w:p>
                  <w:pPr>
                    <w:pStyle w:val="58"/>
                    <w:widowControl w:val="0"/>
                    <w:spacing w:line="240" w:lineRule="auto"/>
                    <w:ind w:firstLine="0" w:firstLineChars="0"/>
                    <w:jc w:val="center"/>
                    <w:rPr>
                      <w:rFonts w:hint="eastAsia" w:ascii="Times New Roman" w:hAnsi="Times New Roman" w:eastAsia="宋体"/>
                      <w:kern w:val="0"/>
                      <w:sz w:val="18"/>
                      <w:szCs w:val="18"/>
                      <w:lang w:eastAsia="zh-CN" w:bidi="ar"/>
                    </w:rPr>
                  </w:pPr>
                  <w:r>
                    <w:rPr>
                      <w:rFonts w:hint="eastAsia" w:ascii="Times New Roman" w:hAnsi="Times New Roman" w:eastAsia="宋体"/>
                      <w:kern w:val="0"/>
                      <w:sz w:val="18"/>
                      <w:szCs w:val="18"/>
                      <w:lang w:val="en-US" w:eastAsia="zh-CN" w:bidi="ar"/>
                    </w:rPr>
                    <w:t>含碳量（%）</w:t>
                  </w:r>
                </w:p>
              </w:tc>
              <w:tc>
                <w:tcPr>
                  <w:tcW w:w="6443" w:type="dxa"/>
                  <w:noWrap w:val="0"/>
                  <w:vAlign w:val="center"/>
                </w:tcPr>
                <w:p>
                  <w:pPr>
                    <w:pStyle w:val="58"/>
                    <w:widowControl w:val="0"/>
                    <w:spacing w:line="240" w:lineRule="auto"/>
                    <w:ind w:firstLine="0" w:firstLineChars="0"/>
                    <w:jc w:val="center"/>
                    <w:rPr>
                      <w:rFonts w:hint="default" w:ascii="Times New Roman" w:hAnsi="Times New Roman" w:eastAsia="宋体"/>
                      <w:kern w:val="0"/>
                      <w:sz w:val="18"/>
                      <w:szCs w:val="18"/>
                      <w:lang w:val="en-US" w:eastAsia="zh-CN" w:bidi="ar"/>
                    </w:rPr>
                  </w:pPr>
                  <w:r>
                    <w:rPr>
                      <w:rFonts w:hint="eastAsia" w:ascii="Times New Roman" w:hAnsi="Times New Roman" w:eastAsia="宋体"/>
                      <w:kern w:val="0"/>
                      <w:sz w:val="18"/>
                      <w:szCs w:val="18"/>
                      <w:lang w:val="en-US" w:eastAsia="zh-CN" w:bidi="ar"/>
                    </w:rPr>
                    <w:t>＞90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01"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碘值（mg/g）</w:t>
                  </w:r>
                </w:p>
              </w:tc>
              <w:tc>
                <w:tcPr>
                  <w:tcW w:w="6443"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800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01"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填充量</w:t>
                  </w:r>
                </w:p>
              </w:tc>
              <w:tc>
                <w:tcPr>
                  <w:tcW w:w="6443" w:type="dxa"/>
                  <w:noWrap w:val="0"/>
                  <w:vAlign w:val="center"/>
                </w:tcPr>
                <w:p>
                  <w:pPr>
                    <w:pStyle w:val="58"/>
                    <w:widowControl w:val="0"/>
                    <w:spacing w:line="240" w:lineRule="auto"/>
                    <w:ind w:firstLine="0" w:firstLineChars="0"/>
                    <w:jc w:val="center"/>
                    <w:rPr>
                      <w:rFonts w:hint="default" w:ascii="Times New Roman" w:hAnsi="Times New Roman" w:eastAsia="宋体"/>
                      <w:kern w:val="0"/>
                      <w:sz w:val="18"/>
                      <w:szCs w:val="18"/>
                      <w:lang w:val="en-US" w:eastAsia="zh-CN" w:bidi="ar"/>
                    </w:rPr>
                  </w:pPr>
                  <w:r>
                    <w:rPr>
                      <w:rFonts w:ascii="Times New Roman" w:hAnsi="Times New Roman" w:eastAsia="宋体"/>
                      <w:kern w:val="0"/>
                      <w:sz w:val="18"/>
                      <w:szCs w:val="18"/>
                      <w:lang w:bidi="ar"/>
                    </w:rPr>
                    <w:t>一级活性炭设计填充量</w:t>
                  </w:r>
                  <w:r>
                    <w:rPr>
                      <w:rFonts w:hint="eastAsia" w:ascii="Times New Roman" w:hAnsi="Times New Roman" w:eastAsia="宋体"/>
                      <w:kern w:val="0"/>
                      <w:sz w:val="18"/>
                      <w:szCs w:val="18"/>
                      <w:lang w:val="en-US" w:eastAsia="zh-CN" w:bidi="ar"/>
                    </w:rPr>
                    <w:t>155</w:t>
                  </w:r>
                  <w:r>
                    <w:rPr>
                      <w:rFonts w:ascii="Times New Roman" w:hAnsi="Times New Roman" w:eastAsia="宋体"/>
                      <w:kern w:val="0"/>
                      <w:sz w:val="18"/>
                      <w:szCs w:val="18"/>
                      <w:lang w:bidi="ar"/>
                    </w:rPr>
                    <w:t>kg，二级活性炭设计填充量</w:t>
                  </w:r>
                  <w:r>
                    <w:rPr>
                      <w:rFonts w:hint="eastAsia" w:ascii="Times New Roman" w:hAnsi="Times New Roman" w:eastAsia="宋体"/>
                      <w:kern w:val="0"/>
                      <w:sz w:val="18"/>
                      <w:szCs w:val="18"/>
                      <w:lang w:val="en-US" w:eastAsia="zh-CN" w:bidi="ar"/>
                    </w:rPr>
                    <w:t>155kg</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01"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更换频次</w:t>
                  </w:r>
                </w:p>
              </w:tc>
              <w:tc>
                <w:tcPr>
                  <w:tcW w:w="6443"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活性炭每</w:t>
                  </w:r>
                  <w:r>
                    <w:rPr>
                      <w:rFonts w:hint="eastAsia" w:ascii="Times New Roman" w:hAnsi="Times New Roman" w:eastAsia="宋体"/>
                      <w:kern w:val="0"/>
                      <w:sz w:val="18"/>
                      <w:szCs w:val="18"/>
                      <w:lang w:val="en-US" w:eastAsia="zh-CN" w:bidi="ar"/>
                    </w:rPr>
                    <w:t>三</w:t>
                  </w:r>
                  <w:r>
                    <w:rPr>
                      <w:rFonts w:ascii="Times New Roman" w:hAnsi="Times New Roman" w:eastAsia="宋体"/>
                      <w:kern w:val="0"/>
                      <w:sz w:val="18"/>
                      <w:szCs w:val="18"/>
                      <w:lang w:bidi="ar"/>
                    </w:rPr>
                    <w:t>个月更换一次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01"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净化效率</w:t>
                  </w:r>
                </w:p>
              </w:tc>
              <w:tc>
                <w:tcPr>
                  <w:tcW w:w="6443" w:type="dxa"/>
                  <w:noWrap w:val="0"/>
                  <w:vAlign w:val="center"/>
                </w:tcPr>
                <w:p>
                  <w:pPr>
                    <w:pStyle w:val="58"/>
                    <w:widowControl w:val="0"/>
                    <w:spacing w:line="240" w:lineRule="auto"/>
                    <w:ind w:firstLine="0" w:firstLineChars="0"/>
                    <w:jc w:val="center"/>
                    <w:rPr>
                      <w:rFonts w:ascii="Times New Roman" w:hAnsi="Times New Roman" w:eastAsia="宋体"/>
                      <w:kern w:val="0"/>
                      <w:sz w:val="18"/>
                      <w:szCs w:val="18"/>
                      <w:lang w:bidi="ar"/>
                    </w:rPr>
                  </w:pPr>
                  <w:r>
                    <w:rPr>
                      <w:rFonts w:ascii="Times New Roman" w:hAnsi="Times New Roman" w:eastAsia="宋体"/>
                      <w:kern w:val="0"/>
                      <w:sz w:val="18"/>
                      <w:szCs w:val="18"/>
                      <w:lang w:bidi="ar"/>
                    </w:rPr>
                    <w:t>≥</w:t>
                  </w:r>
                  <w:r>
                    <w:rPr>
                      <w:rFonts w:hint="eastAsia" w:ascii="Times New Roman" w:hAnsi="Times New Roman" w:eastAsia="宋体"/>
                      <w:kern w:val="0"/>
                      <w:sz w:val="18"/>
                      <w:szCs w:val="18"/>
                      <w:lang w:val="en-US" w:eastAsia="zh-CN" w:bidi="ar"/>
                    </w:rPr>
                    <w:t>9</w:t>
                  </w:r>
                  <w:r>
                    <w:rPr>
                      <w:rFonts w:ascii="Times New Roman" w:hAnsi="Times New Roman" w:eastAsia="宋体"/>
                      <w:kern w:val="0"/>
                      <w:sz w:val="18"/>
                      <w:szCs w:val="18"/>
                      <w:lang w:bidi="ar"/>
                    </w:rPr>
                    <w:t>0%</w:t>
                  </w:r>
                </w:p>
              </w:tc>
            </w:tr>
          </w:tbl>
          <w:p>
            <w:pPr>
              <w:widowControl/>
              <w:spacing w:line="480" w:lineRule="exact"/>
              <w:ind w:firstLine="420" w:firstLineChars="200"/>
              <w:jc w:val="left"/>
              <w:rPr>
                <w:kern w:val="0"/>
                <w:szCs w:val="21"/>
                <w:lang w:bidi="ar"/>
              </w:rPr>
            </w:pPr>
            <w:r>
              <w:rPr>
                <w:kern w:val="0"/>
                <w:szCs w:val="21"/>
                <w:lang w:bidi="ar"/>
              </w:rPr>
              <w:t>b.拟采用的废气治理措施与相关政策规范的相符性分析</w:t>
            </w:r>
          </w:p>
          <w:p>
            <w:pPr>
              <w:widowControl/>
              <w:spacing w:line="480" w:lineRule="exact"/>
              <w:ind w:firstLine="420" w:firstLineChars="200"/>
              <w:jc w:val="left"/>
              <w:rPr>
                <w:kern w:val="0"/>
                <w:szCs w:val="21"/>
                <w:lang w:bidi="ar"/>
              </w:rPr>
            </w:pPr>
            <w:r>
              <w:rPr>
                <w:kern w:val="0"/>
                <w:szCs w:val="21"/>
                <w:lang w:bidi="ar"/>
              </w:rPr>
              <w:t xml:space="preserve">根据《挥发性有机物（VOCs）污染防治技术政策》（生态环境部公告2013年第31号）：“对于含低浓度VOCs的废气，不宜回收时，可采用吸附浓缩燃烧技术、生物技术、吸收技术、等离子体技术或紫外光高级氧化技术等净化后达标排放。”本项目挥发性有机物浓度较低，采用的“二级活性炭吸附装置”满足《挥发性有机物（VOCs）污染防治技术政策》要求。 </w:t>
            </w:r>
          </w:p>
          <w:p>
            <w:pPr>
              <w:widowControl/>
              <w:spacing w:line="480" w:lineRule="exact"/>
              <w:ind w:firstLine="420" w:firstLineChars="200"/>
              <w:jc w:val="left"/>
              <w:rPr>
                <w:kern w:val="0"/>
                <w:szCs w:val="21"/>
                <w:highlight w:val="yellow"/>
                <w:lang w:bidi="ar"/>
              </w:rPr>
            </w:pPr>
            <w:r>
              <w:rPr>
                <w:kern w:val="0"/>
                <w:szCs w:val="21"/>
                <w:lang w:bidi="ar"/>
              </w:rPr>
              <w:t>根据《排污许可证申请与核发技术规范 总则》（HJ942-2018）：“废气污染治理设施工艺包括除尘设施（袋式除尘器、电除尘器、电袋复合除尘器、其他）、脱硫设施（干法、半干法、湿法、其他）、脱硝设施（低氮燃烧、SCR、SNCR、其他）、有机废气收集治理设施（焚烧、吸附、催化分解、其他）、恶臭治理设施（水洗、吸收、氧化、活性炭吸附、过滤、其他）、其他废气收集处理设施（活性炭吸附、生物滤塔、洗涤、吸收、燃烧、氧化、过滤、其他）等”。本项目</w:t>
            </w:r>
            <w:r>
              <w:rPr>
                <w:rFonts w:hint="eastAsia"/>
                <w:kern w:val="0"/>
                <w:szCs w:val="21"/>
                <w:lang w:bidi="ar"/>
              </w:rPr>
              <w:t>吹塑、</w:t>
            </w:r>
            <w:r>
              <w:rPr>
                <w:rFonts w:hint="eastAsia"/>
                <w:kern w:val="0"/>
                <w:szCs w:val="21"/>
                <w:lang w:val="en-US" w:eastAsia="zh-CN" w:bidi="ar"/>
              </w:rPr>
              <w:t>制袋、烫袋</w:t>
            </w:r>
            <w:r>
              <w:rPr>
                <w:kern w:val="0"/>
                <w:szCs w:val="21"/>
                <w:lang w:bidi="ar"/>
              </w:rPr>
              <w:t xml:space="preserve">工序有有机废气产生，有机废气由二级活性炭吸附装置进行处理，符合上述污染防治措施的相关要求。 </w:t>
            </w:r>
          </w:p>
          <w:p>
            <w:pPr>
              <w:widowControl/>
              <w:spacing w:line="480" w:lineRule="exact"/>
              <w:ind w:firstLine="420" w:firstLineChars="200"/>
              <w:jc w:val="left"/>
              <w:rPr>
                <w:kern w:val="0"/>
                <w:szCs w:val="21"/>
                <w:lang w:bidi="ar"/>
              </w:rPr>
            </w:pPr>
            <w:r>
              <w:rPr>
                <w:kern w:val="0"/>
                <w:szCs w:val="21"/>
                <w:lang w:bidi="ar"/>
              </w:rPr>
              <w:t>综上所述，本项目拟采取的废气污染治理措施对生产过程中产生的废气能进行有效处理，采用的废气处理措施可行。</w:t>
            </w:r>
          </w:p>
          <w:p>
            <w:pPr>
              <w:widowControl/>
              <w:spacing w:line="480" w:lineRule="exact"/>
              <w:ind w:firstLine="420" w:firstLineChars="200"/>
              <w:jc w:val="left"/>
              <w:rPr>
                <w:kern w:val="0"/>
                <w:szCs w:val="21"/>
                <w:lang w:bidi="ar"/>
              </w:rPr>
            </w:pPr>
          </w:p>
          <w:p>
            <w:pPr>
              <w:widowControl/>
              <w:spacing w:line="480" w:lineRule="exact"/>
              <w:ind w:firstLine="422" w:firstLineChars="200"/>
              <w:jc w:val="left"/>
              <w:rPr>
                <w:b/>
                <w:bCs/>
                <w:szCs w:val="21"/>
              </w:rPr>
            </w:pPr>
            <w:r>
              <w:rPr>
                <w:rFonts w:hint="eastAsia"/>
                <w:b/>
                <w:bCs/>
                <w:kern w:val="0"/>
                <w:szCs w:val="21"/>
                <w:lang w:val="en-US" w:eastAsia="zh-CN" w:bidi="ar"/>
              </w:rPr>
              <w:t>3、</w:t>
            </w:r>
            <w:r>
              <w:rPr>
                <w:b/>
                <w:bCs/>
                <w:kern w:val="0"/>
                <w:szCs w:val="21"/>
                <w:lang w:bidi="ar"/>
              </w:rPr>
              <w:t xml:space="preserve">排气筒设置 </w:t>
            </w:r>
          </w:p>
          <w:p>
            <w:pPr>
              <w:widowControl/>
              <w:spacing w:line="480" w:lineRule="exact"/>
              <w:ind w:firstLine="420" w:firstLineChars="200"/>
              <w:jc w:val="left"/>
              <w:rPr>
                <w:kern w:val="0"/>
                <w:szCs w:val="21"/>
                <w:lang w:bidi="ar"/>
              </w:rPr>
            </w:pPr>
            <w:r>
              <w:rPr>
                <w:kern w:val="0"/>
                <w:szCs w:val="21"/>
                <w:lang w:bidi="ar"/>
              </w:rPr>
              <w:t xml:space="preserve">废气排气筒按要求设计采样口，有净化设施的，应在其进出口分别设置采样口。排气筒附近地面醒目处设环境保护图形标志牌，标明排气筒高度、出口内径、排放污染物种类。 </w:t>
            </w:r>
          </w:p>
          <w:p>
            <w:pPr>
              <w:widowControl/>
              <w:spacing w:line="480" w:lineRule="exact"/>
              <w:ind w:firstLine="420" w:firstLineChars="200"/>
              <w:jc w:val="left"/>
              <w:rPr>
                <w:kern w:val="0"/>
                <w:szCs w:val="21"/>
                <w:lang w:bidi="ar"/>
              </w:rPr>
            </w:pPr>
            <w:r>
              <w:rPr>
                <w:kern w:val="0"/>
                <w:szCs w:val="21"/>
                <w:lang w:bidi="ar"/>
              </w:rPr>
              <w:t>本项目设置</w:t>
            </w:r>
            <w:r>
              <w:rPr>
                <w:rFonts w:hint="eastAsia"/>
                <w:kern w:val="0"/>
                <w:szCs w:val="21"/>
                <w:lang w:val="en-US" w:eastAsia="zh-CN" w:bidi="ar"/>
              </w:rPr>
              <w:t>1</w:t>
            </w:r>
            <w:r>
              <w:rPr>
                <w:kern w:val="0"/>
                <w:szCs w:val="21"/>
                <w:lang w:bidi="ar"/>
              </w:rPr>
              <w:t xml:space="preserve">根15m高排气筒DA001，排放主要污染物为非甲烷总烃。 </w:t>
            </w:r>
          </w:p>
          <w:p>
            <w:pPr>
              <w:widowControl/>
              <w:spacing w:line="480" w:lineRule="exact"/>
              <w:ind w:firstLine="420" w:firstLineChars="200"/>
              <w:jc w:val="left"/>
              <w:rPr>
                <w:kern w:val="0"/>
                <w:szCs w:val="21"/>
                <w:lang w:bidi="ar"/>
              </w:rPr>
            </w:pPr>
            <w:r>
              <w:rPr>
                <w:rFonts w:hint="eastAsia" w:ascii="宋体" w:hAnsi="宋体" w:cs="宋体"/>
                <w:kern w:val="0"/>
                <w:szCs w:val="21"/>
                <w:lang w:bidi="ar"/>
              </w:rPr>
              <w:t>①</w:t>
            </w:r>
            <w:r>
              <w:rPr>
                <w:kern w:val="0"/>
                <w:szCs w:val="21"/>
                <w:lang w:bidi="ar"/>
              </w:rPr>
              <w:t>根据</w:t>
            </w:r>
            <w:r>
              <w:t>《合成树脂工业污染物排放标准》（GB31572-2015）中规定：</w:t>
            </w:r>
            <w:r>
              <w:rPr>
                <w:kern w:val="0"/>
                <w:szCs w:val="21"/>
                <w:lang w:bidi="ar"/>
              </w:rPr>
              <w:t>合成树脂企业产生大气污染物的生产工艺和装置需设立局部或整体气体收集系统和净化处理装置，达标排放。排气筒高度应按环境影响评价要求确定，且至少不低于15m。本项目</w:t>
            </w:r>
            <w:r>
              <w:rPr>
                <w:rFonts w:hint="eastAsia"/>
                <w:kern w:val="0"/>
                <w:szCs w:val="21"/>
                <w:lang w:bidi="ar"/>
              </w:rPr>
              <w:t>吹塑、</w:t>
            </w:r>
            <w:r>
              <w:rPr>
                <w:rFonts w:hint="eastAsia"/>
                <w:kern w:val="0"/>
                <w:szCs w:val="21"/>
                <w:lang w:val="en-US" w:eastAsia="zh-CN" w:bidi="ar"/>
              </w:rPr>
              <w:t>制袋、烫袋工序</w:t>
            </w:r>
            <w:r>
              <w:rPr>
                <w:kern w:val="0"/>
                <w:szCs w:val="21"/>
                <w:lang w:bidi="ar"/>
              </w:rPr>
              <w:t>产生的废气经处理后通过15m高排气筒排放，符合标准要求。</w:t>
            </w:r>
          </w:p>
          <w:p>
            <w:pPr>
              <w:widowControl/>
              <w:spacing w:line="480" w:lineRule="exact"/>
              <w:ind w:firstLine="420" w:firstLineChars="200"/>
              <w:jc w:val="left"/>
              <w:rPr>
                <w:color w:val="000000" w:themeColor="text1"/>
                <w:kern w:val="0"/>
                <w:szCs w:val="21"/>
                <w:lang w:bidi="ar"/>
                <w14:textFill>
                  <w14:solidFill>
                    <w14:schemeClr w14:val="tx1"/>
                  </w14:solidFill>
                </w14:textFill>
              </w:rPr>
            </w:pPr>
            <w:r>
              <w:rPr>
                <w:rFonts w:hint="eastAsia" w:ascii="宋体" w:hAnsi="宋体" w:cs="宋体"/>
                <w:kern w:val="0"/>
                <w:szCs w:val="21"/>
                <w:lang w:bidi="ar"/>
              </w:rPr>
              <w:t>②</w:t>
            </w:r>
            <w:r>
              <w:rPr>
                <w:kern w:val="0"/>
                <w:szCs w:val="21"/>
                <w:lang w:bidi="ar"/>
              </w:rPr>
              <w:t>根据</w:t>
            </w:r>
            <w:r>
              <w:t>《合成树脂工业污染物排放标准》（GB31572-2015）中规定</w:t>
            </w:r>
            <w:r>
              <w:rPr>
                <w:kern w:val="0"/>
                <w:szCs w:val="21"/>
                <w:lang w:bidi="ar"/>
              </w:rPr>
              <w:t>：企业应按照环境</w:t>
            </w:r>
            <w:r>
              <w:rPr>
                <w:color w:val="000000" w:themeColor="text1"/>
                <w:kern w:val="0"/>
                <w:szCs w:val="21"/>
                <w:lang w:bidi="ar"/>
                <w14:textFill>
                  <w14:solidFill>
                    <w14:schemeClr w14:val="tx1"/>
                  </w14:solidFill>
                </w14:textFill>
              </w:rPr>
              <w:t>监测管理规定和技术规范的要求，设计、建设、维护永久性采样口、采样测试平台和排污口标志。本项目建成后将按照标准要求设置采样口及排污口标志。</w:t>
            </w:r>
          </w:p>
          <w:p>
            <w:pPr>
              <w:widowControl/>
              <w:spacing w:line="480" w:lineRule="exact"/>
              <w:ind w:firstLine="420" w:firstLineChars="20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③</w:t>
            </w:r>
            <w:r>
              <w:rPr>
                <w:color w:val="000000" w:themeColor="text1"/>
                <w:kern w:val="0"/>
                <w:szCs w:val="21"/>
                <w:lang w:bidi="ar"/>
                <w14:textFill>
                  <w14:solidFill>
                    <w14:schemeClr w14:val="tx1"/>
                  </w14:solidFill>
                </w14:textFill>
              </w:rPr>
              <w:t>本项目排气筒DA001废气排放速度为</w:t>
            </w:r>
            <w:r>
              <w:rPr>
                <w:rFonts w:hint="eastAsia"/>
                <w:color w:val="000000" w:themeColor="text1"/>
                <w:kern w:val="0"/>
                <w:szCs w:val="21"/>
                <w:lang w:val="en-US" w:eastAsia="zh-CN" w:bidi="ar"/>
                <w14:textFill>
                  <w14:solidFill>
                    <w14:schemeClr w14:val="tx1"/>
                  </w14:solidFill>
                </w14:textFill>
              </w:rPr>
              <w:t>11.8</w:t>
            </w:r>
            <w:r>
              <w:rPr>
                <w:color w:val="000000" w:themeColor="text1"/>
                <w:kern w:val="0"/>
                <w:szCs w:val="21"/>
                <w:lang w:bidi="ar"/>
                <w14:textFill>
                  <w14:solidFill>
                    <w14:schemeClr w14:val="tx1"/>
                  </w14:solidFill>
                </w14:textFill>
              </w:rPr>
              <w:t xml:space="preserve">m/s，满足《大气污染治理工程技术导则》（HJ2000-2010）第5.3.5节“排气筒的出口直径应根据出口流速确定，流速宜取15m/s 左右”的通用技术条件。 </w:t>
            </w:r>
          </w:p>
          <w:p>
            <w:pPr>
              <w:widowControl/>
              <w:spacing w:line="480" w:lineRule="exact"/>
              <w:ind w:firstLine="422" w:firstLineChars="200"/>
              <w:jc w:val="left"/>
              <w:rPr>
                <w:b/>
                <w:bCs/>
                <w:color w:val="000000" w:themeColor="text1"/>
                <w:szCs w:val="21"/>
                <w14:textFill>
                  <w14:solidFill>
                    <w14:schemeClr w14:val="tx1"/>
                  </w14:solidFill>
                </w14:textFill>
              </w:rPr>
            </w:pPr>
            <w:r>
              <w:rPr>
                <w:rFonts w:hint="eastAsia"/>
                <w:b/>
                <w:bCs/>
                <w:color w:val="000000" w:themeColor="text1"/>
                <w:kern w:val="0"/>
                <w:szCs w:val="21"/>
                <w:lang w:val="en-US" w:eastAsia="zh-CN" w:bidi="ar"/>
                <w14:textFill>
                  <w14:solidFill>
                    <w14:schemeClr w14:val="tx1"/>
                  </w14:solidFill>
                </w14:textFill>
              </w:rPr>
              <w:t>4、</w:t>
            </w:r>
            <w:r>
              <w:rPr>
                <w:b/>
                <w:bCs/>
                <w:color w:val="000000" w:themeColor="text1"/>
                <w:kern w:val="0"/>
                <w:szCs w:val="21"/>
                <w:lang w:bidi="ar"/>
                <w14:textFill>
                  <w14:solidFill>
                    <w14:schemeClr w14:val="tx1"/>
                  </w14:solidFill>
                </w14:textFill>
              </w:rPr>
              <w:t xml:space="preserve">废气排放情况及达标情况分析 </w:t>
            </w:r>
          </w:p>
          <w:p>
            <w:pPr>
              <w:widowControl/>
              <w:spacing w:line="480" w:lineRule="exact"/>
              <w:ind w:firstLine="420" w:firstLineChars="200"/>
              <w:jc w:val="left"/>
              <w:rPr>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①</w:t>
            </w:r>
            <w:r>
              <w:rPr>
                <w:color w:val="000000" w:themeColor="text1"/>
                <w:kern w:val="0"/>
                <w:szCs w:val="21"/>
                <w:lang w:bidi="ar"/>
                <w14:textFill>
                  <w14:solidFill>
                    <w14:schemeClr w14:val="tx1"/>
                  </w14:solidFill>
                </w14:textFill>
              </w:rPr>
              <w:t xml:space="preserve">有组织废气 </w:t>
            </w:r>
          </w:p>
          <w:p>
            <w:pPr>
              <w:widowControl/>
              <w:spacing w:line="480" w:lineRule="exact"/>
              <w:ind w:firstLine="420" w:firstLineChars="200"/>
              <w:jc w:val="left"/>
              <w:rPr>
                <w:color w:val="000000" w:themeColor="text1"/>
                <w:szCs w:val="21"/>
                <w:highlight w:val="yellow"/>
                <w14:textFill>
                  <w14:solidFill>
                    <w14:schemeClr w14:val="tx1"/>
                  </w14:solidFill>
                </w14:textFill>
              </w:rPr>
            </w:pPr>
            <w:r>
              <w:rPr>
                <w:color w:val="000000" w:themeColor="text1"/>
                <w:kern w:val="0"/>
                <w:szCs w:val="21"/>
                <w:lang w:bidi="ar"/>
                <w14:textFill>
                  <w14:solidFill>
                    <w14:schemeClr w14:val="tx1"/>
                  </w14:solidFill>
                </w14:textFill>
              </w:rPr>
              <w:t>根据表4-7本项目排气筒DA001排放的非甲烷总烃的预测排放浓度能够满足</w:t>
            </w:r>
            <w:r>
              <w:rPr>
                <w:color w:val="000000" w:themeColor="text1"/>
                <w14:textFill>
                  <w14:solidFill>
                    <w14:schemeClr w14:val="tx1"/>
                  </w14:solidFill>
                </w14:textFill>
              </w:rPr>
              <w:t>《合成树脂工业污染物排放标准》（GB31572-2015）表5特别排放限值要求</w:t>
            </w:r>
            <w:r>
              <w:rPr>
                <w:color w:val="000000" w:themeColor="text1"/>
                <w:kern w:val="0"/>
                <w:szCs w:val="21"/>
                <w:lang w:bidi="ar"/>
                <w14:textFill>
                  <w14:solidFill>
                    <w14:schemeClr w14:val="tx1"/>
                  </w14:solidFill>
                </w14:textFill>
              </w:rPr>
              <w:t>。</w:t>
            </w:r>
          </w:p>
          <w:p>
            <w:pPr>
              <w:widowControl/>
              <w:spacing w:line="480" w:lineRule="exact"/>
              <w:ind w:firstLine="420" w:firstLineChars="200"/>
              <w:jc w:val="left"/>
              <w:rPr>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②</w:t>
            </w:r>
            <w:r>
              <w:rPr>
                <w:color w:val="000000" w:themeColor="text1"/>
                <w:kern w:val="0"/>
                <w:szCs w:val="21"/>
                <w:lang w:bidi="ar"/>
                <w14:textFill>
                  <w14:solidFill>
                    <w14:schemeClr w14:val="tx1"/>
                  </w14:solidFill>
                </w14:textFill>
              </w:rPr>
              <w:t xml:space="preserve">无组织废气 </w:t>
            </w:r>
          </w:p>
          <w:p>
            <w:pPr>
              <w:widowControl/>
              <w:spacing w:line="480" w:lineRule="exact"/>
              <w:ind w:firstLine="420" w:firstLineChars="200"/>
              <w:jc w:val="left"/>
              <w:rPr>
                <w:color w:val="000000" w:themeColor="text1"/>
                <w:szCs w:val="21"/>
                <w:highlight w:val="yellow"/>
                <w14:textFill>
                  <w14:solidFill>
                    <w14:schemeClr w14:val="tx1"/>
                  </w14:solidFill>
                </w14:textFill>
              </w:rPr>
            </w:pPr>
            <w:r>
              <w:rPr>
                <w:color w:val="000000" w:themeColor="text1"/>
                <w:kern w:val="0"/>
                <w:szCs w:val="21"/>
                <w:lang w:bidi="ar"/>
                <w14:textFill>
                  <w14:solidFill>
                    <w14:schemeClr w14:val="tx1"/>
                  </w14:solidFill>
                </w14:textFill>
              </w:rPr>
              <w:t>生产车间内无组织排放的废气预测排放量为非甲烷总烃</w:t>
            </w:r>
            <w:r>
              <w:rPr>
                <w:rFonts w:hint="eastAsia"/>
                <w:color w:val="000000" w:themeColor="text1"/>
                <w:kern w:val="0"/>
                <w:szCs w:val="21"/>
                <w:lang w:val="en-US" w:eastAsia="zh-CN" w:bidi="ar"/>
                <w14:textFill>
                  <w14:solidFill>
                    <w14:schemeClr w14:val="tx1"/>
                  </w14:solidFill>
                </w14:textFill>
              </w:rPr>
              <w:t>0.0125</w:t>
            </w:r>
            <w:r>
              <w:rPr>
                <w:color w:val="000000" w:themeColor="text1"/>
                <w:kern w:val="0"/>
                <w:szCs w:val="21"/>
                <w:lang w:bidi="ar"/>
                <w14:textFill>
                  <w14:solidFill>
                    <w14:schemeClr w14:val="tx1"/>
                  </w14:solidFill>
                </w14:textFill>
              </w:rPr>
              <w:t>t/a，面源高度</w:t>
            </w:r>
            <w:r>
              <w:rPr>
                <w:rFonts w:hint="eastAsia"/>
                <w:color w:val="000000" w:themeColor="text1"/>
                <w:kern w:val="0"/>
                <w:szCs w:val="21"/>
                <w:lang w:val="en-US" w:eastAsia="zh-CN" w:bidi="ar"/>
                <w14:textFill>
                  <w14:solidFill>
                    <w14:schemeClr w14:val="tx1"/>
                  </w14:solidFill>
                </w14:textFill>
              </w:rPr>
              <w:t>8</w:t>
            </w:r>
            <w:r>
              <w:rPr>
                <w:color w:val="000000" w:themeColor="text1"/>
                <w:kern w:val="0"/>
                <w:szCs w:val="21"/>
                <w:lang w:bidi="ar"/>
                <w14:textFill>
                  <w14:solidFill>
                    <w14:schemeClr w14:val="tx1"/>
                  </w14:solidFill>
                </w14:textFill>
              </w:rPr>
              <w:t>m，面源面积</w:t>
            </w:r>
            <w:r>
              <w:rPr>
                <w:rFonts w:hint="eastAsia"/>
                <w:color w:val="000000" w:themeColor="text1"/>
                <w:kern w:val="0"/>
                <w:szCs w:val="21"/>
                <w:lang w:val="en-US" w:eastAsia="zh-CN" w:bidi="ar"/>
                <w14:textFill>
                  <w14:solidFill>
                    <w14:schemeClr w14:val="tx1"/>
                  </w14:solidFill>
                </w14:textFill>
              </w:rPr>
              <w:t>280</w:t>
            </w:r>
            <w:r>
              <w:rPr>
                <w:color w:val="000000" w:themeColor="text1"/>
                <w:kern w:val="0"/>
                <w:szCs w:val="21"/>
                <w:lang w:bidi="ar"/>
                <w14:textFill>
                  <w14:solidFill>
                    <w14:schemeClr w14:val="tx1"/>
                  </w14:solidFill>
                </w14:textFill>
              </w:rPr>
              <w:t>m</w:t>
            </w:r>
            <w:r>
              <w:rPr>
                <w:color w:val="000000" w:themeColor="text1"/>
                <w:kern w:val="0"/>
                <w:szCs w:val="21"/>
                <w:vertAlign w:val="superscript"/>
                <w:lang w:bidi="ar"/>
                <w14:textFill>
                  <w14:solidFill>
                    <w14:schemeClr w14:val="tx1"/>
                  </w14:solidFill>
                </w14:textFill>
              </w:rPr>
              <w:t>2</w:t>
            </w:r>
            <w:r>
              <w:rPr>
                <w:color w:val="000000" w:themeColor="text1"/>
                <w:kern w:val="0"/>
                <w:szCs w:val="21"/>
                <w:lang w:bidi="ar"/>
                <w14:textFill>
                  <w14:solidFill>
                    <w14:schemeClr w14:val="tx1"/>
                  </w14:solidFill>
                </w14:textFill>
              </w:rPr>
              <w:t>，预测排放速率为非甲烷总烃</w:t>
            </w:r>
            <w:r>
              <w:rPr>
                <w:rFonts w:hint="eastAsia"/>
                <w:color w:val="000000" w:themeColor="text1"/>
                <w:kern w:val="0"/>
                <w:szCs w:val="21"/>
                <w:lang w:val="en-US" w:eastAsia="zh-CN" w:bidi="ar"/>
                <w14:textFill>
                  <w14:solidFill>
                    <w14:schemeClr w14:val="tx1"/>
                  </w14:solidFill>
                </w14:textFill>
              </w:rPr>
              <w:t>0.005</w:t>
            </w:r>
            <w:r>
              <w:rPr>
                <w:color w:val="000000" w:themeColor="text1"/>
                <w:kern w:val="0"/>
                <w:szCs w:val="21"/>
                <w:lang w:bidi="ar"/>
                <w14:textFill>
                  <w14:solidFill>
                    <w14:schemeClr w14:val="tx1"/>
                  </w14:solidFill>
                </w14:textFill>
              </w:rPr>
              <w:t>kg/h，厂界监控浓度可满足</w:t>
            </w:r>
            <w:r>
              <w:rPr>
                <w:color w:val="000000" w:themeColor="text1"/>
                <w14:textFill>
                  <w14:solidFill>
                    <w14:schemeClr w14:val="tx1"/>
                  </w14:solidFill>
                </w14:textFill>
              </w:rPr>
              <w:t>《合成树脂工业污染物排放标准》（GB31572-2015）表</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排放限值要求</w:t>
            </w:r>
            <w:r>
              <w:rPr>
                <w:color w:val="000000" w:themeColor="text1"/>
                <w:kern w:val="0"/>
                <w:szCs w:val="21"/>
                <w:lang w:bidi="ar"/>
                <w14:textFill>
                  <w14:solidFill>
                    <w14:schemeClr w14:val="tx1"/>
                  </w14:solidFill>
                </w14:textFill>
              </w:rPr>
              <w:t>。</w:t>
            </w:r>
          </w:p>
          <w:p>
            <w:pPr>
              <w:widowControl/>
              <w:spacing w:line="480" w:lineRule="exact"/>
              <w:ind w:firstLine="422" w:firstLineChars="200"/>
              <w:jc w:val="left"/>
              <w:rPr>
                <w:b/>
                <w:bCs/>
                <w:color w:val="000000" w:themeColor="text1"/>
                <w:szCs w:val="21"/>
                <w14:textFill>
                  <w14:solidFill>
                    <w14:schemeClr w14:val="tx1"/>
                  </w14:solidFill>
                </w14:textFill>
              </w:rPr>
            </w:pPr>
            <w:r>
              <w:rPr>
                <w:rFonts w:hint="eastAsia"/>
                <w:b/>
                <w:bCs/>
                <w:color w:val="000000" w:themeColor="text1"/>
                <w:szCs w:val="21"/>
                <w:lang w:val="en-US" w:eastAsia="zh-CN"/>
                <w14:textFill>
                  <w14:solidFill>
                    <w14:schemeClr w14:val="tx1"/>
                  </w14:solidFill>
                </w14:textFill>
              </w:rPr>
              <w:t>5、</w:t>
            </w:r>
            <w:r>
              <w:rPr>
                <w:b/>
                <w:bCs/>
                <w:color w:val="000000" w:themeColor="text1"/>
                <w:szCs w:val="21"/>
                <w14:textFill>
                  <w14:solidFill>
                    <w14:schemeClr w14:val="tx1"/>
                  </w14:solidFill>
                </w14:textFill>
              </w:rPr>
              <w:t>污染源信息</w:t>
            </w:r>
          </w:p>
          <w:p>
            <w:pPr>
              <w:pStyle w:val="59"/>
              <w:spacing w:before="0" w:line="480" w:lineRule="exact"/>
              <w:ind w:firstLine="420" w:firstLineChars="200"/>
              <w:rPr>
                <w:rFonts w:eastAsia="宋体"/>
                <w:b w:val="0"/>
                <w:bCs w:val="0"/>
                <w:color w:val="000000" w:themeColor="text1"/>
                <w:kern w:val="2"/>
                <w:sz w:val="21"/>
                <w14:textFill>
                  <w14:solidFill>
                    <w14:schemeClr w14:val="tx1"/>
                  </w14:solidFill>
                </w14:textFill>
              </w:rPr>
            </w:pPr>
            <w:r>
              <w:rPr>
                <w:rFonts w:hint="eastAsia" w:ascii="宋体" w:hAnsi="宋体" w:eastAsia="宋体" w:cs="宋体"/>
                <w:b w:val="0"/>
                <w:bCs w:val="0"/>
                <w:color w:val="000000" w:themeColor="text1"/>
                <w:kern w:val="2"/>
                <w:sz w:val="21"/>
                <w14:textFill>
                  <w14:solidFill>
                    <w14:schemeClr w14:val="tx1"/>
                  </w14:solidFill>
                </w14:textFill>
              </w:rPr>
              <w:t>①</w:t>
            </w:r>
            <w:r>
              <w:rPr>
                <w:rFonts w:eastAsia="宋体"/>
                <w:b w:val="0"/>
                <w:bCs w:val="0"/>
                <w:color w:val="000000" w:themeColor="text1"/>
                <w:kern w:val="2"/>
                <w:sz w:val="21"/>
                <w14:textFill>
                  <w14:solidFill>
                    <w14:schemeClr w14:val="tx1"/>
                  </w14:solidFill>
                </w14:textFill>
              </w:rPr>
              <w:t>污染源参数</w:t>
            </w:r>
          </w:p>
          <w:p>
            <w:pPr>
              <w:pStyle w:val="59"/>
              <w:spacing w:before="0" w:line="480" w:lineRule="exact"/>
              <w:ind w:firstLine="420" w:firstLineChars="200"/>
              <w:rPr>
                <w:rFonts w:eastAsia="宋体"/>
                <w:b w:val="0"/>
                <w:bCs w:val="0"/>
                <w:kern w:val="2"/>
                <w:sz w:val="21"/>
              </w:rPr>
            </w:pPr>
            <w:r>
              <w:rPr>
                <w:rFonts w:eastAsia="宋体"/>
                <w:b w:val="0"/>
                <w:bCs w:val="0"/>
                <w:kern w:val="2"/>
                <w:sz w:val="21"/>
              </w:rPr>
              <w:t>主要废气污染源排放参数见下表4-12，4-13。</w:t>
            </w:r>
          </w:p>
          <w:p>
            <w:pPr>
              <w:spacing w:line="480" w:lineRule="exact"/>
              <w:jc w:val="center"/>
              <w:rPr>
                <w:b/>
                <w:bCs/>
                <w:sz w:val="18"/>
                <w:szCs w:val="18"/>
              </w:rPr>
            </w:pPr>
          </w:p>
          <w:p>
            <w:pPr>
              <w:spacing w:line="480" w:lineRule="exact"/>
              <w:jc w:val="center"/>
              <w:rPr>
                <w:b/>
                <w:highlight w:val="yellow"/>
              </w:rPr>
            </w:pPr>
            <w:r>
              <w:rPr>
                <w:b/>
                <w:bCs/>
                <w:sz w:val="18"/>
                <w:szCs w:val="18"/>
              </w:rPr>
              <w:t>表4-12  主要废气污染源参数一览表（点源）</w:t>
            </w:r>
          </w:p>
          <w:tbl>
            <w:tblPr>
              <w:tblStyle w:val="21"/>
              <w:tblW w:w="8041"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16"/>
              <w:gridCol w:w="636"/>
              <w:gridCol w:w="700"/>
              <w:gridCol w:w="774"/>
              <w:gridCol w:w="581"/>
              <w:gridCol w:w="639"/>
              <w:gridCol w:w="1017"/>
              <w:gridCol w:w="869"/>
              <w:gridCol w:w="1192"/>
              <w:gridCol w:w="81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90" w:hRule="atLeast"/>
              </w:trPr>
              <w:tc>
                <w:tcPr>
                  <w:tcW w:w="816" w:type="dxa"/>
                  <w:vMerge w:val="restart"/>
                  <w:noWrap w:val="0"/>
                  <w:vAlign w:val="center"/>
                </w:tcPr>
                <w:p>
                  <w:pPr>
                    <w:pStyle w:val="32"/>
                    <w:widowControl/>
                    <w:spacing w:before="99"/>
                    <w:jc w:val="center"/>
                    <w:rPr>
                      <w:b/>
                      <w:bCs/>
                      <w:sz w:val="18"/>
                      <w:szCs w:val="18"/>
                    </w:rPr>
                  </w:pPr>
                  <w:r>
                    <w:rPr>
                      <w:b/>
                      <w:bCs/>
                      <w:sz w:val="18"/>
                      <w:szCs w:val="18"/>
                    </w:rPr>
                    <w:t>排气筒编号</w:t>
                  </w:r>
                </w:p>
              </w:tc>
              <w:tc>
                <w:tcPr>
                  <w:tcW w:w="1336" w:type="dxa"/>
                  <w:gridSpan w:val="2"/>
                  <w:noWrap w:val="0"/>
                  <w:vAlign w:val="center"/>
                </w:tcPr>
                <w:p>
                  <w:pPr>
                    <w:pStyle w:val="32"/>
                    <w:widowControl/>
                    <w:spacing w:before="99"/>
                    <w:jc w:val="center"/>
                    <w:rPr>
                      <w:b/>
                      <w:bCs/>
                      <w:sz w:val="18"/>
                      <w:szCs w:val="18"/>
                    </w:rPr>
                  </w:pPr>
                  <w:r>
                    <w:rPr>
                      <w:b/>
                      <w:bCs/>
                      <w:sz w:val="18"/>
                      <w:szCs w:val="18"/>
                    </w:rPr>
                    <w:t>排气筒底部中心坐标m</w:t>
                  </w:r>
                </w:p>
              </w:tc>
              <w:tc>
                <w:tcPr>
                  <w:tcW w:w="774" w:type="dxa"/>
                  <w:vMerge w:val="restart"/>
                  <w:noWrap w:val="0"/>
                  <w:vAlign w:val="center"/>
                </w:tcPr>
                <w:p>
                  <w:pPr>
                    <w:pStyle w:val="32"/>
                    <w:widowControl/>
                    <w:spacing w:before="99"/>
                    <w:jc w:val="center"/>
                    <w:rPr>
                      <w:b/>
                      <w:bCs/>
                      <w:sz w:val="18"/>
                      <w:szCs w:val="18"/>
                    </w:rPr>
                  </w:pPr>
                  <w:r>
                    <w:rPr>
                      <w:b/>
                      <w:bCs/>
                      <w:sz w:val="18"/>
                      <w:szCs w:val="18"/>
                    </w:rPr>
                    <w:t>排气筒底部海拔m</w:t>
                  </w:r>
                </w:p>
              </w:tc>
              <w:tc>
                <w:tcPr>
                  <w:tcW w:w="3106" w:type="dxa"/>
                  <w:gridSpan w:val="4"/>
                  <w:noWrap w:val="0"/>
                  <w:vAlign w:val="center"/>
                </w:tcPr>
                <w:p>
                  <w:pPr>
                    <w:pStyle w:val="59"/>
                    <w:spacing w:before="0" w:line="240" w:lineRule="auto"/>
                    <w:jc w:val="center"/>
                    <w:rPr>
                      <w:rFonts w:eastAsia="宋体"/>
                      <w:sz w:val="18"/>
                      <w:szCs w:val="18"/>
                    </w:rPr>
                  </w:pPr>
                  <w:r>
                    <w:rPr>
                      <w:rFonts w:eastAsia="宋体"/>
                      <w:sz w:val="18"/>
                      <w:szCs w:val="18"/>
                      <w:lang w:bidi="zh-CN"/>
                    </w:rPr>
                    <w:t>排气筒参数</w:t>
                  </w:r>
                </w:p>
              </w:tc>
              <w:tc>
                <w:tcPr>
                  <w:tcW w:w="1192" w:type="dxa"/>
                  <w:vMerge w:val="restart"/>
                  <w:noWrap w:val="0"/>
                  <w:vAlign w:val="center"/>
                </w:tcPr>
                <w:p>
                  <w:pPr>
                    <w:pStyle w:val="59"/>
                    <w:spacing w:line="240" w:lineRule="auto"/>
                    <w:jc w:val="center"/>
                    <w:rPr>
                      <w:rFonts w:eastAsia="宋体"/>
                      <w:sz w:val="18"/>
                      <w:szCs w:val="18"/>
                      <w:lang w:bidi="zh-CN"/>
                    </w:rPr>
                  </w:pPr>
                  <w:r>
                    <w:rPr>
                      <w:rFonts w:eastAsia="宋体"/>
                      <w:sz w:val="18"/>
                      <w:szCs w:val="18"/>
                      <w:lang w:bidi="zh-CN"/>
                    </w:rPr>
                    <w:t>污染物名称</w:t>
                  </w:r>
                </w:p>
              </w:tc>
              <w:tc>
                <w:tcPr>
                  <w:tcW w:w="817" w:type="dxa"/>
                  <w:vMerge w:val="restart"/>
                  <w:noWrap w:val="0"/>
                  <w:vAlign w:val="center"/>
                </w:tcPr>
                <w:p>
                  <w:pPr>
                    <w:pStyle w:val="59"/>
                    <w:spacing w:line="240" w:lineRule="auto"/>
                    <w:jc w:val="center"/>
                    <w:rPr>
                      <w:rFonts w:eastAsia="宋体"/>
                      <w:sz w:val="18"/>
                      <w:szCs w:val="18"/>
                      <w:lang w:bidi="zh-CN"/>
                    </w:rPr>
                  </w:pPr>
                  <w:r>
                    <w:rPr>
                      <w:rFonts w:eastAsia="宋体"/>
                      <w:sz w:val="18"/>
                      <w:szCs w:val="18"/>
                      <w:lang w:bidi="zh-CN"/>
                    </w:rPr>
                    <w:t>排放速率kg/h</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trPr>
              <w:tc>
                <w:tcPr>
                  <w:tcW w:w="816" w:type="dxa"/>
                  <w:vMerge w:val="continue"/>
                  <w:noWrap w:val="0"/>
                  <w:vAlign w:val="center"/>
                </w:tcPr>
                <w:p>
                  <w:pPr>
                    <w:pStyle w:val="59"/>
                    <w:spacing w:line="240" w:lineRule="auto"/>
                    <w:jc w:val="center"/>
                    <w:rPr>
                      <w:rFonts w:eastAsia="宋体"/>
                      <w:sz w:val="18"/>
                      <w:szCs w:val="18"/>
                    </w:rPr>
                  </w:pPr>
                </w:p>
              </w:tc>
              <w:tc>
                <w:tcPr>
                  <w:tcW w:w="636" w:type="dxa"/>
                  <w:noWrap w:val="0"/>
                  <w:vAlign w:val="center"/>
                </w:tcPr>
                <w:p>
                  <w:pPr>
                    <w:pStyle w:val="32"/>
                    <w:widowControl/>
                    <w:spacing w:before="99"/>
                    <w:jc w:val="center"/>
                    <w:rPr>
                      <w:b/>
                      <w:bCs/>
                      <w:sz w:val="18"/>
                      <w:szCs w:val="18"/>
                    </w:rPr>
                  </w:pPr>
                  <w:r>
                    <w:rPr>
                      <w:b/>
                      <w:bCs/>
                      <w:sz w:val="18"/>
                      <w:szCs w:val="18"/>
                    </w:rPr>
                    <w:t>X</w:t>
                  </w:r>
                </w:p>
              </w:tc>
              <w:tc>
                <w:tcPr>
                  <w:tcW w:w="700" w:type="dxa"/>
                  <w:noWrap w:val="0"/>
                  <w:vAlign w:val="center"/>
                </w:tcPr>
                <w:p>
                  <w:pPr>
                    <w:pStyle w:val="32"/>
                    <w:widowControl/>
                    <w:spacing w:before="99"/>
                    <w:jc w:val="center"/>
                    <w:rPr>
                      <w:b/>
                      <w:bCs/>
                      <w:sz w:val="18"/>
                      <w:szCs w:val="18"/>
                    </w:rPr>
                  </w:pPr>
                  <w:r>
                    <w:rPr>
                      <w:b/>
                      <w:bCs/>
                      <w:sz w:val="18"/>
                      <w:szCs w:val="18"/>
                    </w:rPr>
                    <w:t>Y</w:t>
                  </w:r>
                </w:p>
              </w:tc>
              <w:tc>
                <w:tcPr>
                  <w:tcW w:w="774" w:type="dxa"/>
                  <w:vMerge w:val="continue"/>
                  <w:noWrap w:val="0"/>
                  <w:vAlign w:val="center"/>
                </w:tcPr>
                <w:p>
                  <w:pPr>
                    <w:pStyle w:val="32"/>
                    <w:widowControl/>
                    <w:spacing w:before="99"/>
                    <w:jc w:val="center"/>
                    <w:rPr>
                      <w:b/>
                      <w:bCs/>
                      <w:sz w:val="18"/>
                      <w:szCs w:val="18"/>
                    </w:rPr>
                  </w:pPr>
                </w:p>
              </w:tc>
              <w:tc>
                <w:tcPr>
                  <w:tcW w:w="581" w:type="dxa"/>
                  <w:noWrap w:val="0"/>
                  <w:vAlign w:val="center"/>
                </w:tcPr>
                <w:p>
                  <w:pPr>
                    <w:pStyle w:val="32"/>
                    <w:widowControl/>
                    <w:jc w:val="center"/>
                    <w:rPr>
                      <w:b/>
                      <w:bCs/>
                      <w:sz w:val="18"/>
                      <w:szCs w:val="18"/>
                    </w:rPr>
                  </w:pPr>
                  <w:r>
                    <w:rPr>
                      <w:b/>
                      <w:bCs/>
                      <w:sz w:val="18"/>
                      <w:szCs w:val="18"/>
                    </w:rPr>
                    <w:t>高度m</w:t>
                  </w:r>
                </w:p>
              </w:tc>
              <w:tc>
                <w:tcPr>
                  <w:tcW w:w="639" w:type="dxa"/>
                  <w:noWrap w:val="0"/>
                  <w:vAlign w:val="center"/>
                </w:tcPr>
                <w:p>
                  <w:pPr>
                    <w:pStyle w:val="32"/>
                    <w:widowControl/>
                    <w:jc w:val="center"/>
                    <w:rPr>
                      <w:b/>
                      <w:bCs/>
                      <w:sz w:val="18"/>
                      <w:szCs w:val="18"/>
                    </w:rPr>
                  </w:pPr>
                  <w:r>
                    <w:rPr>
                      <w:b/>
                      <w:bCs/>
                      <w:sz w:val="18"/>
                      <w:szCs w:val="18"/>
                    </w:rPr>
                    <w:t>内径m</w:t>
                  </w:r>
                </w:p>
              </w:tc>
              <w:tc>
                <w:tcPr>
                  <w:tcW w:w="1017" w:type="dxa"/>
                  <w:noWrap w:val="0"/>
                  <w:vAlign w:val="center"/>
                </w:tcPr>
                <w:p>
                  <w:pPr>
                    <w:pStyle w:val="32"/>
                    <w:widowControl/>
                    <w:jc w:val="center"/>
                    <w:rPr>
                      <w:b/>
                      <w:bCs/>
                      <w:sz w:val="18"/>
                      <w:szCs w:val="18"/>
                    </w:rPr>
                  </w:pPr>
                  <w:r>
                    <w:rPr>
                      <w:b/>
                      <w:bCs/>
                      <w:sz w:val="18"/>
                      <w:szCs w:val="18"/>
                    </w:rPr>
                    <w:t>出口温度</w:t>
                  </w:r>
                  <w:r>
                    <w:rPr>
                      <w:b/>
                      <w:sz w:val="18"/>
                      <w:szCs w:val="18"/>
                    </w:rPr>
                    <w:t>℃</w:t>
                  </w:r>
                </w:p>
              </w:tc>
              <w:tc>
                <w:tcPr>
                  <w:tcW w:w="869" w:type="dxa"/>
                  <w:noWrap w:val="0"/>
                  <w:vAlign w:val="center"/>
                </w:tcPr>
                <w:p>
                  <w:pPr>
                    <w:pStyle w:val="32"/>
                    <w:widowControl/>
                    <w:jc w:val="center"/>
                    <w:rPr>
                      <w:b/>
                      <w:bCs/>
                      <w:sz w:val="18"/>
                      <w:szCs w:val="18"/>
                    </w:rPr>
                  </w:pPr>
                  <w:r>
                    <w:rPr>
                      <w:b/>
                      <w:bCs/>
                      <w:sz w:val="18"/>
                      <w:szCs w:val="18"/>
                    </w:rPr>
                    <w:t>出口流速m/s</w:t>
                  </w:r>
                </w:p>
              </w:tc>
              <w:tc>
                <w:tcPr>
                  <w:tcW w:w="1192" w:type="dxa"/>
                  <w:vMerge w:val="continue"/>
                  <w:noWrap w:val="0"/>
                  <w:vAlign w:val="center"/>
                </w:tcPr>
                <w:p>
                  <w:pPr>
                    <w:pStyle w:val="59"/>
                    <w:spacing w:line="240" w:lineRule="auto"/>
                    <w:jc w:val="center"/>
                    <w:rPr>
                      <w:rFonts w:eastAsia="宋体"/>
                      <w:b w:val="0"/>
                      <w:bCs w:val="0"/>
                      <w:sz w:val="18"/>
                      <w:szCs w:val="18"/>
                    </w:rPr>
                  </w:pPr>
                </w:p>
              </w:tc>
              <w:tc>
                <w:tcPr>
                  <w:tcW w:w="817" w:type="dxa"/>
                  <w:vMerge w:val="continue"/>
                  <w:noWrap w:val="0"/>
                  <w:vAlign w:val="center"/>
                </w:tcPr>
                <w:p>
                  <w:pPr>
                    <w:pStyle w:val="59"/>
                    <w:spacing w:line="240" w:lineRule="auto"/>
                    <w:jc w:val="center"/>
                    <w:rPr>
                      <w:rFonts w:eastAsia="宋体"/>
                      <w:b w:val="0"/>
                      <w:bCs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44" w:hRule="atLeast"/>
              </w:trPr>
              <w:tc>
                <w:tcPr>
                  <w:tcW w:w="816" w:type="dxa"/>
                  <w:noWrap w:val="0"/>
                  <w:vAlign w:val="center"/>
                </w:tcPr>
                <w:p>
                  <w:pPr>
                    <w:pStyle w:val="32"/>
                    <w:widowControl/>
                    <w:jc w:val="center"/>
                    <w:rPr>
                      <w:sz w:val="18"/>
                      <w:szCs w:val="18"/>
                    </w:rPr>
                  </w:pPr>
                  <w:r>
                    <w:rPr>
                      <w:sz w:val="18"/>
                      <w:szCs w:val="18"/>
                    </w:rPr>
                    <w:t>DA001</w:t>
                  </w:r>
                </w:p>
              </w:tc>
              <w:tc>
                <w:tcPr>
                  <w:tcW w:w="636" w:type="dxa"/>
                  <w:noWrap w:val="0"/>
                  <w:vAlign w:val="center"/>
                </w:tcPr>
                <w:p>
                  <w:pPr>
                    <w:pStyle w:val="32"/>
                    <w:widowControl/>
                    <w:jc w:val="center"/>
                    <w:rPr>
                      <w:rFonts w:hint="default" w:eastAsia="宋体"/>
                      <w:sz w:val="18"/>
                      <w:szCs w:val="18"/>
                      <w:lang w:val="en-US" w:eastAsia="zh-CN"/>
                    </w:rPr>
                  </w:pPr>
                  <w:r>
                    <w:rPr>
                      <w:rFonts w:hint="eastAsia"/>
                      <w:sz w:val="18"/>
                      <w:szCs w:val="18"/>
                      <w:lang w:val="en-US" w:eastAsia="zh-CN"/>
                    </w:rPr>
                    <w:t>10</w:t>
                  </w:r>
                </w:p>
              </w:tc>
              <w:tc>
                <w:tcPr>
                  <w:tcW w:w="700" w:type="dxa"/>
                  <w:noWrap w:val="0"/>
                  <w:vAlign w:val="center"/>
                </w:tcPr>
                <w:p>
                  <w:pPr>
                    <w:pStyle w:val="32"/>
                    <w:widowControl/>
                    <w:jc w:val="center"/>
                    <w:rPr>
                      <w:rFonts w:hint="default" w:eastAsia="宋体"/>
                      <w:sz w:val="18"/>
                      <w:szCs w:val="18"/>
                      <w:lang w:val="en-US" w:eastAsia="zh-CN"/>
                    </w:rPr>
                  </w:pPr>
                  <w:r>
                    <w:rPr>
                      <w:rFonts w:hint="eastAsia"/>
                      <w:sz w:val="18"/>
                      <w:szCs w:val="18"/>
                      <w:lang w:val="en-US" w:eastAsia="zh-CN"/>
                    </w:rPr>
                    <w:t>14</w:t>
                  </w:r>
                </w:p>
              </w:tc>
              <w:tc>
                <w:tcPr>
                  <w:tcW w:w="774" w:type="dxa"/>
                  <w:noWrap w:val="0"/>
                  <w:vAlign w:val="center"/>
                </w:tcPr>
                <w:p>
                  <w:pPr>
                    <w:pStyle w:val="59"/>
                    <w:spacing w:before="0" w:line="240" w:lineRule="auto"/>
                    <w:jc w:val="center"/>
                    <w:rPr>
                      <w:rFonts w:eastAsia="宋体"/>
                      <w:b w:val="0"/>
                      <w:bCs w:val="0"/>
                      <w:sz w:val="18"/>
                      <w:szCs w:val="18"/>
                    </w:rPr>
                  </w:pPr>
                  <w:r>
                    <w:rPr>
                      <w:rFonts w:hint="eastAsia" w:eastAsia="宋体"/>
                      <w:b w:val="0"/>
                      <w:bCs w:val="0"/>
                      <w:sz w:val="18"/>
                      <w:szCs w:val="18"/>
                      <w:lang w:val="en-US" w:eastAsia="zh-CN"/>
                    </w:rPr>
                    <w:t>3</w:t>
                  </w:r>
                  <w:r>
                    <w:rPr>
                      <w:rFonts w:eastAsia="宋体"/>
                      <w:b w:val="0"/>
                      <w:bCs w:val="0"/>
                      <w:sz w:val="18"/>
                      <w:szCs w:val="18"/>
                    </w:rPr>
                    <w:t>.0</w:t>
                  </w:r>
                </w:p>
              </w:tc>
              <w:tc>
                <w:tcPr>
                  <w:tcW w:w="581" w:type="dxa"/>
                  <w:noWrap w:val="0"/>
                  <w:vAlign w:val="center"/>
                </w:tcPr>
                <w:p>
                  <w:pPr>
                    <w:jc w:val="center"/>
                    <w:rPr>
                      <w:sz w:val="18"/>
                      <w:szCs w:val="18"/>
                    </w:rPr>
                  </w:pPr>
                  <w:r>
                    <w:rPr>
                      <w:sz w:val="18"/>
                      <w:szCs w:val="18"/>
                    </w:rPr>
                    <w:t>15</w:t>
                  </w:r>
                </w:p>
              </w:tc>
              <w:tc>
                <w:tcPr>
                  <w:tcW w:w="639" w:type="dxa"/>
                  <w:noWrap w:val="0"/>
                  <w:vAlign w:val="center"/>
                </w:tcPr>
                <w:p>
                  <w:pPr>
                    <w:jc w:val="center"/>
                    <w:rPr>
                      <w:rFonts w:hint="eastAsia" w:eastAsia="宋体"/>
                      <w:sz w:val="18"/>
                      <w:szCs w:val="18"/>
                      <w:lang w:eastAsia="zh-CN"/>
                    </w:rPr>
                  </w:pPr>
                  <w:r>
                    <w:rPr>
                      <w:sz w:val="18"/>
                      <w:szCs w:val="18"/>
                    </w:rPr>
                    <w:t>0.</w:t>
                  </w:r>
                  <w:r>
                    <w:rPr>
                      <w:rFonts w:hint="eastAsia"/>
                      <w:sz w:val="18"/>
                      <w:szCs w:val="18"/>
                      <w:lang w:val="en-US" w:eastAsia="zh-CN"/>
                    </w:rPr>
                    <w:t>3</w:t>
                  </w:r>
                </w:p>
              </w:tc>
              <w:tc>
                <w:tcPr>
                  <w:tcW w:w="1017" w:type="dxa"/>
                  <w:noWrap w:val="0"/>
                  <w:vAlign w:val="center"/>
                </w:tcPr>
                <w:p>
                  <w:pPr>
                    <w:jc w:val="center"/>
                    <w:rPr>
                      <w:sz w:val="18"/>
                      <w:szCs w:val="18"/>
                    </w:rPr>
                  </w:pPr>
                  <w:r>
                    <w:rPr>
                      <w:sz w:val="18"/>
                      <w:szCs w:val="18"/>
                    </w:rPr>
                    <w:t>25</w:t>
                  </w:r>
                </w:p>
              </w:tc>
              <w:tc>
                <w:tcPr>
                  <w:tcW w:w="869" w:type="dxa"/>
                  <w:noWrap w:val="0"/>
                  <w:vAlign w:val="center"/>
                </w:tcPr>
                <w:p>
                  <w:pPr>
                    <w:jc w:val="center"/>
                    <w:rPr>
                      <w:rFonts w:hint="default" w:eastAsia="宋体"/>
                      <w:sz w:val="18"/>
                      <w:szCs w:val="18"/>
                      <w:lang w:val="en-US" w:eastAsia="zh-CN"/>
                    </w:rPr>
                  </w:pPr>
                  <w:r>
                    <w:rPr>
                      <w:rFonts w:hint="eastAsia"/>
                      <w:sz w:val="18"/>
                      <w:szCs w:val="18"/>
                      <w:lang w:val="en-US" w:eastAsia="zh-CN"/>
                    </w:rPr>
                    <w:t>11.8</w:t>
                  </w:r>
                </w:p>
              </w:tc>
              <w:tc>
                <w:tcPr>
                  <w:tcW w:w="1192" w:type="dxa"/>
                  <w:noWrap w:val="0"/>
                  <w:vAlign w:val="center"/>
                </w:tcPr>
                <w:p>
                  <w:pPr>
                    <w:widowControl/>
                    <w:adjustRightInd w:val="0"/>
                    <w:snapToGrid w:val="0"/>
                    <w:jc w:val="center"/>
                    <w:rPr>
                      <w:sz w:val="18"/>
                      <w:szCs w:val="18"/>
                    </w:rPr>
                  </w:pPr>
                  <w:r>
                    <w:rPr>
                      <w:sz w:val="18"/>
                      <w:szCs w:val="18"/>
                    </w:rPr>
                    <w:t>非甲烷总烃</w:t>
                  </w:r>
                </w:p>
              </w:tc>
              <w:tc>
                <w:tcPr>
                  <w:tcW w:w="817" w:type="dxa"/>
                  <w:noWrap w:val="0"/>
                  <w:vAlign w:val="center"/>
                </w:tcPr>
                <w:p>
                  <w:pPr>
                    <w:widowControl/>
                    <w:jc w:val="center"/>
                    <w:textAlignment w:val="center"/>
                    <w:rPr>
                      <w:rFonts w:hint="default"/>
                      <w:sz w:val="18"/>
                      <w:szCs w:val="18"/>
                      <w:lang w:val="en-US"/>
                    </w:rPr>
                  </w:pPr>
                  <w:r>
                    <w:rPr>
                      <w:rFonts w:hint="eastAsia"/>
                      <w:sz w:val="18"/>
                      <w:szCs w:val="18"/>
                      <w:lang w:val="en-US" w:eastAsia="zh-CN"/>
                    </w:rPr>
                    <w:t>0.0047</w:t>
                  </w:r>
                </w:p>
              </w:tc>
            </w:tr>
          </w:tbl>
          <w:p>
            <w:pPr>
              <w:pStyle w:val="59"/>
              <w:spacing w:before="0" w:line="480" w:lineRule="exact"/>
              <w:jc w:val="left"/>
              <w:rPr>
                <w:rFonts w:eastAsia="宋体"/>
                <w:kern w:val="2"/>
                <w:sz w:val="18"/>
                <w:szCs w:val="18"/>
              </w:rPr>
            </w:pPr>
            <w:r>
              <w:rPr>
                <w:rFonts w:eastAsia="宋体"/>
                <w:kern w:val="2"/>
                <w:sz w:val="18"/>
                <w:szCs w:val="18"/>
              </w:rPr>
              <w:t>注：本项目设置厂房</w:t>
            </w:r>
            <w:r>
              <w:rPr>
                <w:rFonts w:hint="eastAsia" w:eastAsia="宋体"/>
                <w:kern w:val="2"/>
                <w:sz w:val="18"/>
                <w:szCs w:val="18"/>
                <w:lang w:val="en-US" w:eastAsia="zh-CN"/>
              </w:rPr>
              <w:t>车间</w:t>
            </w:r>
            <w:r>
              <w:rPr>
                <w:rFonts w:eastAsia="宋体"/>
                <w:kern w:val="2"/>
                <w:sz w:val="18"/>
                <w:szCs w:val="18"/>
              </w:rPr>
              <w:t>一西南角为坐标原点。</w:t>
            </w:r>
          </w:p>
          <w:p>
            <w:pPr>
              <w:pStyle w:val="59"/>
              <w:spacing w:before="0" w:line="480" w:lineRule="exact"/>
              <w:jc w:val="center"/>
              <w:rPr>
                <w:rFonts w:eastAsia="宋体"/>
                <w:kern w:val="2"/>
                <w:sz w:val="18"/>
                <w:szCs w:val="18"/>
              </w:rPr>
            </w:pPr>
            <w:r>
              <w:rPr>
                <w:rFonts w:eastAsia="宋体"/>
                <w:kern w:val="2"/>
                <w:sz w:val="18"/>
                <w:szCs w:val="18"/>
              </w:rPr>
              <w:t>表4-13  主要废气污染源参数一览表（矩形面源）</w:t>
            </w:r>
          </w:p>
          <w:tbl>
            <w:tblPr>
              <w:tblStyle w:val="21"/>
              <w:tblW w:w="8041"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4" w:space="0"/>
              </w:tblBorders>
              <w:tblLayout w:type="fixed"/>
              <w:tblCellMar>
                <w:top w:w="0" w:type="dxa"/>
                <w:left w:w="0" w:type="dxa"/>
                <w:bottom w:w="0" w:type="dxa"/>
                <w:right w:w="0" w:type="dxa"/>
              </w:tblCellMar>
            </w:tblPr>
            <w:tblGrid>
              <w:gridCol w:w="994"/>
              <w:gridCol w:w="740"/>
              <w:gridCol w:w="755"/>
              <w:gridCol w:w="922"/>
              <w:gridCol w:w="819"/>
              <w:gridCol w:w="663"/>
              <w:gridCol w:w="970"/>
              <w:gridCol w:w="1197"/>
              <w:gridCol w:w="981"/>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4" w:space="0"/>
                </w:tblBorders>
                <w:tblLayout w:type="fixed"/>
                <w:tblCellMar>
                  <w:top w:w="0" w:type="dxa"/>
                  <w:left w:w="0" w:type="dxa"/>
                  <w:bottom w:w="0" w:type="dxa"/>
                  <w:right w:w="0" w:type="dxa"/>
                </w:tblCellMar>
              </w:tblPrEx>
              <w:trPr>
                <w:trHeight w:val="358" w:hRule="atLeast"/>
              </w:trPr>
              <w:tc>
                <w:tcPr>
                  <w:tcW w:w="994" w:type="dxa"/>
                  <w:vMerge w:val="restart"/>
                  <w:noWrap w:val="0"/>
                  <w:vAlign w:val="center"/>
                </w:tcPr>
                <w:p>
                  <w:pPr>
                    <w:pStyle w:val="32"/>
                    <w:widowControl/>
                    <w:jc w:val="center"/>
                    <w:rPr>
                      <w:b/>
                      <w:sz w:val="18"/>
                      <w:szCs w:val="18"/>
                    </w:rPr>
                  </w:pPr>
                  <w:r>
                    <w:rPr>
                      <w:b/>
                      <w:sz w:val="18"/>
                      <w:szCs w:val="18"/>
                    </w:rPr>
                    <w:t>污染源</w:t>
                  </w:r>
                </w:p>
              </w:tc>
              <w:tc>
                <w:tcPr>
                  <w:tcW w:w="1495" w:type="dxa"/>
                  <w:gridSpan w:val="2"/>
                  <w:noWrap w:val="0"/>
                  <w:vAlign w:val="center"/>
                </w:tcPr>
                <w:p>
                  <w:pPr>
                    <w:pStyle w:val="32"/>
                    <w:widowControl/>
                    <w:jc w:val="center"/>
                    <w:rPr>
                      <w:b/>
                      <w:sz w:val="18"/>
                      <w:szCs w:val="18"/>
                    </w:rPr>
                  </w:pPr>
                  <w:r>
                    <w:rPr>
                      <w:b/>
                      <w:sz w:val="18"/>
                      <w:szCs w:val="18"/>
                    </w:rPr>
                    <w:t>面源起点坐标m</w:t>
                  </w:r>
                </w:p>
              </w:tc>
              <w:tc>
                <w:tcPr>
                  <w:tcW w:w="922" w:type="dxa"/>
                  <w:vMerge w:val="restart"/>
                  <w:noWrap w:val="0"/>
                  <w:vAlign w:val="center"/>
                </w:tcPr>
                <w:p>
                  <w:pPr>
                    <w:pStyle w:val="32"/>
                    <w:widowControl/>
                    <w:spacing w:before="1"/>
                    <w:jc w:val="center"/>
                    <w:rPr>
                      <w:b/>
                      <w:sz w:val="18"/>
                      <w:szCs w:val="18"/>
                    </w:rPr>
                  </w:pPr>
                  <w:r>
                    <w:rPr>
                      <w:b/>
                      <w:sz w:val="18"/>
                      <w:szCs w:val="18"/>
                    </w:rPr>
                    <w:t>海拔高度</w:t>
                  </w:r>
                </w:p>
                <w:p>
                  <w:pPr>
                    <w:pStyle w:val="32"/>
                    <w:widowControl/>
                    <w:jc w:val="center"/>
                    <w:rPr>
                      <w:b/>
                      <w:sz w:val="18"/>
                      <w:szCs w:val="18"/>
                    </w:rPr>
                  </w:pPr>
                  <w:r>
                    <w:rPr>
                      <w:b/>
                      <w:sz w:val="18"/>
                      <w:szCs w:val="18"/>
                    </w:rPr>
                    <w:t>m</w:t>
                  </w:r>
                </w:p>
              </w:tc>
              <w:tc>
                <w:tcPr>
                  <w:tcW w:w="2452" w:type="dxa"/>
                  <w:gridSpan w:val="3"/>
                  <w:noWrap w:val="0"/>
                  <w:vAlign w:val="center"/>
                </w:tcPr>
                <w:p>
                  <w:pPr>
                    <w:pStyle w:val="32"/>
                    <w:widowControl/>
                    <w:jc w:val="center"/>
                    <w:rPr>
                      <w:b/>
                      <w:sz w:val="18"/>
                      <w:szCs w:val="18"/>
                    </w:rPr>
                  </w:pPr>
                  <w:r>
                    <w:rPr>
                      <w:b/>
                      <w:sz w:val="18"/>
                      <w:szCs w:val="18"/>
                    </w:rPr>
                    <w:t>矩形面源</w:t>
                  </w:r>
                </w:p>
              </w:tc>
              <w:tc>
                <w:tcPr>
                  <w:tcW w:w="1197" w:type="dxa"/>
                  <w:vMerge w:val="restart"/>
                  <w:noWrap w:val="0"/>
                  <w:vAlign w:val="center"/>
                </w:tcPr>
                <w:p>
                  <w:pPr>
                    <w:pStyle w:val="32"/>
                    <w:widowControl/>
                    <w:jc w:val="center"/>
                    <w:rPr>
                      <w:b/>
                      <w:sz w:val="18"/>
                      <w:szCs w:val="18"/>
                    </w:rPr>
                  </w:pPr>
                  <w:r>
                    <w:rPr>
                      <w:b/>
                      <w:sz w:val="18"/>
                      <w:szCs w:val="18"/>
                    </w:rPr>
                    <w:t>污染物</w:t>
                  </w:r>
                </w:p>
              </w:tc>
              <w:tc>
                <w:tcPr>
                  <w:tcW w:w="981" w:type="dxa"/>
                  <w:vMerge w:val="restart"/>
                  <w:noWrap w:val="0"/>
                  <w:vAlign w:val="center"/>
                </w:tcPr>
                <w:p>
                  <w:pPr>
                    <w:pStyle w:val="32"/>
                    <w:widowControl/>
                    <w:spacing w:before="1"/>
                    <w:jc w:val="center"/>
                    <w:rPr>
                      <w:b/>
                      <w:sz w:val="18"/>
                      <w:szCs w:val="18"/>
                    </w:rPr>
                  </w:pPr>
                  <w:r>
                    <w:rPr>
                      <w:b/>
                      <w:sz w:val="18"/>
                      <w:szCs w:val="18"/>
                    </w:rPr>
                    <w:t>排放速率kg/h</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4" w:space="0"/>
                </w:tblBorders>
                <w:tblLayout w:type="fixed"/>
                <w:tblCellMar>
                  <w:top w:w="0" w:type="dxa"/>
                  <w:left w:w="0" w:type="dxa"/>
                  <w:bottom w:w="0" w:type="dxa"/>
                  <w:right w:w="0" w:type="dxa"/>
                </w:tblCellMar>
              </w:tblPrEx>
              <w:trPr>
                <w:trHeight w:val="408" w:hRule="atLeast"/>
              </w:trPr>
              <w:tc>
                <w:tcPr>
                  <w:tcW w:w="994" w:type="dxa"/>
                  <w:vMerge w:val="continue"/>
                  <w:noWrap w:val="0"/>
                  <w:vAlign w:val="center"/>
                </w:tcPr>
                <w:p>
                  <w:pPr>
                    <w:widowControl/>
                    <w:jc w:val="center"/>
                    <w:rPr>
                      <w:sz w:val="18"/>
                      <w:szCs w:val="18"/>
                    </w:rPr>
                  </w:pPr>
                </w:p>
              </w:tc>
              <w:tc>
                <w:tcPr>
                  <w:tcW w:w="740" w:type="dxa"/>
                  <w:noWrap w:val="0"/>
                  <w:vAlign w:val="center"/>
                </w:tcPr>
                <w:p>
                  <w:pPr>
                    <w:pStyle w:val="32"/>
                    <w:widowControl/>
                    <w:jc w:val="center"/>
                    <w:rPr>
                      <w:bCs/>
                      <w:sz w:val="18"/>
                      <w:szCs w:val="18"/>
                    </w:rPr>
                  </w:pPr>
                  <w:r>
                    <w:rPr>
                      <w:bCs/>
                      <w:sz w:val="18"/>
                      <w:szCs w:val="18"/>
                    </w:rPr>
                    <w:t>X</w:t>
                  </w:r>
                </w:p>
              </w:tc>
              <w:tc>
                <w:tcPr>
                  <w:tcW w:w="755" w:type="dxa"/>
                  <w:noWrap w:val="0"/>
                  <w:vAlign w:val="center"/>
                </w:tcPr>
                <w:p>
                  <w:pPr>
                    <w:pStyle w:val="32"/>
                    <w:widowControl/>
                    <w:jc w:val="center"/>
                    <w:rPr>
                      <w:bCs/>
                      <w:sz w:val="18"/>
                      <w:szCs w:val="18"/>
                    </w:rPr>
                  </w:pPr>
                  <w:r>
                    <w:rPr>
                      <w:bCs/>
                      <w:sz w:val="18"/>
                      <w:szCs w:val="18"/>
                    </w:rPr>
                    <w:t>Y</w:t>
                  </w:r>
                </w:p>
              </w:tc>
              <w:tc>
                <w:tcPr>
                  <w:tcW w:w="922" w:type="dxa"/>
                  <w:vMerge w:val="continue"/>
                  <w:noWrap w:val="0"/>
                  <w:vAlign w:val="center"/>
                </w:tcPr>
                <w:p>
                  <w:pPr>
                    <w:widowControl/>
                    <w:jc w:val="center"/>
                    <w:rPr>
                      <w:sz w:val="18"/>
                      <w:szCs w:val="18"/>
                    </w:rPr>
                  </w:pPr>
                </w:p>
              </w:tc>
              <w:tc>
                <w:tcPr>
                  <w:tcW w:w="819" w:type="dxa"/>
                  <w:noWrap w:val="0"/>
                  <w:vAlign w:val="center"/>
                </w:tcPr>
                <w:p>
                  <w:pPr>
                    <w:pStyle w:val="32"/>
                    <w:widowControl/>
                    <w:jc w:val="center"/>
                    <w:rPr>
                      <w:b/>
                      <w:sz w:val="18"/>
                      <w:szCs w:val="18"/>
                    </w:rPr>
                  </w:pPr>
                  <w:r>
                    <w:rPr>
                      <w:b/>
                      <w:sz w:val="18"/>
                      <w:szCs w:val="18"/>
                    </w:rPr>
                    <w:t>长度m</w:t>
                  </w:r>
                </w:p>
              </w:tc>
              <w:tc>
                <w:tcPr>
                  <w:tcW w:w="663" w:type="dxa"/>
                  <w:noWrap w:val="0"/>
                  <w:vAlign w:val="center"/>
                </w:tcPr>
                <w:p>
                  <w:pPr>
                    <w:pStyle w:val="32"/>
                    <w:widowControl/>
                    <w:jc w:val="center"/>
                    <w:rPr>
                      <w:b/>
                      <w:sz w:val="18"/>
                      <w:szCs w:val="18"/>
                    </w:rPr>
                  </w:pPr>
                  <w:r>
                    <w:rPr>
                      <w:b/>
                      <w:sz w:val="18"/>
                      <w:szCs w:val="18"/>
                    </w:rPr>
                    <w:t>宽度m</w:t>
                  </w:r>
                </w:p>
              </w:tc>
              <w:tc>
                <w:tcPr>
                  <w:tcW w:w="970" w:type="dxa"/>
                  <w:noWrap w:val="0"/>
                  <w:vAlign w:val="center"/>
                </w:tcPr>
                <w:p>
                  <w:pPr>
                    <w:pStyle w:val="32"/>
                    <w:widowControl/>
                    <w:jc w:val="center"/>
                    <w:rPr>
                      <w:b/>
                      <w:sz w:val="18"/>
                      <w:szCs w:val="18"/>
                    </w:rPr>
                  </w:pPr>
                  <w:r>
                    <w:rPr>
                      <w:b/>
                      <w:sz w:val="18"/>
                      <w:szCs w:val="18"/>
                    </w:rPr>
                    <w:t>有效高度m</w:t>
                  </w:r>
                </w:p>
              </w:tc>
              <w:tc>
                <w:tcPr>
                  <w:tcW w:w="1197" w:type="dxa"/>
                  <w:vMerge w:val="continue"/>
                  <w:noWrap w:val="0"/>
                  <w:vAlign w:val="center"/>
                </w:tcPr>
                <w:p>
                  <w:pPr>
                    <w:widowControl/>
                    <w:jc w:val="center"/>
                    <w:rPr>
                      <w:sz w:val="18"/>
                      <w:szCs w:val="18"/>
                    </w:rPr>
                  </w:pPr>
                </w:p>
              </w:tc>
              <w:tc>
                <w:tcPr>
                  <w:tcW w:w="981" w:type="dxa"/>
                  <w:vMerge w:val="continue"/>
                  <w:noWrap w:val="0"/>
                  <w:vAlign w:val="center"/>
                </w:tcPr>
                <w:p>
                  <w:pPr>
                    <w:widowControl/>
                    <w:jc w:val="center"/>
                    <w:rPr>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4" w:space="0"/>
                </w:tblBorders>
                <w:tblLayout w:type="fixed"/>
                <w:tblCellMar>
                  <w:top w:w="0" w:type="dxa"/>
                  <w:left w:w="0" w:type="dxa"/>
                  <w:bottom w:w="0" w:type="dxa"/>
                  <w:right w:w="0" w:type="dxa"/>
                </w:tblCellMar>
              </w:tblPrEx>
              <w:trPr>
                <w:trHeight w:val="400" w:hRule="atLeast"/>
              </w:trPr>
              <w:tc>
                <w:tcPr>
                  <w:tcW w:w="994" w:type="dxa"/>
                  <w:noWrap w:val="0"/>
                  <w:vAlign w:val="center"/>
                </w:tcPr>
                <w:p>
                  <w:pPr>
                    <w:pStyle w:val="32"/>
                    <w:widowControl/>
                    <w:jc w:val="center"/>
                    <w:rPr>
                      <w:sz w:val="18"/>
                      <w:szCs w:val="18"/>
                    </w:rPr>
                  </w:pPr>
                  <w:r>
                    <w:rPr>
                      <w:sz w:val="18"/>
                      <w:szCs w:val="18"/>
                    </w:rPr>
                    <w:t>生产车间</w:t>
                  </w:r>
                </w:p>
              </w:tc>
              <w:tc>
                <w:tcPr>
                  <w:tcW w:w="740" w:type="dxa"/>
                  <w:noWrap w:val="0"/>
                  <w:vAlign w:val="center"/>
                </w:tcPr>
                <w:p>
                  <w:pPr>
                    <w:pStyle w:val="32"/>
                    <w:widowControl/>
                    <w:jc w:val="center"/>
                    <w:rPr>
                      <w:sz w:val="18"/>
                      <w:szCs w:val="18"/>
                    </w:rPr>
                  </w:pPr>
                  <w:r>
                    <w:rPr>
                      <w:sz w:val="18"/>
                      <w:szCs w:val="18"/>
                    </w:rPr>
                    <w:t>0</w:t>
                  </w:r>
                </w:p>
              </w:tc>
              <w:tc>
                <w:tcPr>
                  <w:tcW w:w="755" w:type="dxa"/>
                  <w:noWrap w:val="0"/>
                  <w:vAlign w:val="center"/>
                </w:tcPr>
                <w:p>
                  <w:pPr>
                    <w:pStyle w:val="32"/>
                    <w:widowControl/>
                    <w:jc w:val="center"/>
                    <w:rPr>
                      <w:sz w:val="18"/>
                      <w:szCs w:val="18"/>
                    </w:rPr>
                  </w:pPr>
                  <w:r>
                    <w:rPr>
                      <w:sz w:val="18"/>
                      <w:szCs w:val="18"/>
                    </w:rPr>
                    <w:t>0</w:t>
                  </w:r>
                </w:p>
              </w:tc>
              <w:tc>
                <w:tcPr>
                  <w:tcW w:w="922" w:type="dxa"/>
                  <w:noWrap w:val="0"/>
                  <w:vAlign w:val="center"/>
                </w:tcPr>
                <w:p>
                  <w:pPr>
                    <w:pStyle w:val="32"/>
                    <w:widowControl/>
                    <w:jc w:val="center"/>
                    <w:rPr>
                      <w:sz w:val="18"/>
                      <w:szCs w:val="18"/>
                    </w:rPr>
                  </w:pPr>
                  <w:r>
                    <w:rPr>
                      <w:rFonts w:hint="eastAsia"/>
                      <w:sz w:val="18"/>
                      <w:szCs w:val="18"/>
                      <w:lang w:val="en-US" w:eastAsia="zh-CN"/>
                    </w:rPr>
                    <w:t>8</w:t>
                  </w:r>
                  <w:r>
                    <w:rPr>
                      <w:sz w:val="18"/>
                      <w:szCs w:val="18"/>
                    </w:rPr>
                    <w:t>.0</w:t>
                  </w:r>
                </w:p>
              </w:tc>
              <w:tc>
                <w:tcPr>
                  <w:tcW w:w="819" w:type="dxa"/>
                  <w:noWrap w:val="0"/>
                  <w:vAlign w:val="center"/>
                </w:tcPr>
                <w:p>
                  <w:pPr>
                    <w:pStyle w:val="32"/>
                    <w:widowControl/>
                    <w:jc w:val="center"/>
                    <w:rPr>
                      <w:rFonts w:hint="default" w:eastAsia="宋体"/>
                      <w:sz w:val="18"/>
                      <w:szCs w:val="18"/>
                      <w:lang w:val="en-US" w:eastAsia="zh-CN"/>
                    </w:rPr>
                  </w:pPr>
                  <w:r>
                    <w:rPr>
                      <w:rFonts w:hint="eastAsia"/>
                      <w:sz w:val="18"/>
                      <w:szCs w:val="18"/>
                      <w:lang w:val="en-US" w:eastAsia="zh-CN"/>
                    </w:rPr>
                    <w:t>20</w:t>
                  </w:r>
                </w:p>
              </w:tc>
              <w:tc>
                <w:tcPr>
                  <w:tcW w:w="663" w:type="dxa"/>
                  <w:noWrap w:val="0"/>
                  <w:vAlign w:val="center"/>
                </w:tcPr>
                <w:p>
                  <w:pPr>
                    <w:pStyle w:val="32"/>
                    <w:widowControl/>
                    <w:jc w:val="center"/>
                    <w:rPr>
                      <w:rFonts w:hint="default" w:eastAsia="宋体"/>
                      <w:sz w:val="18"/>
                      <w:szCs w:val="18"/>
                      <w:lang w:val="en-US" w:eastAsia="zh-CN"/>
                    </w:rPr>
                  </w:pPr>
                  <w:r>
                    <w:rPr>
                      <w:rFonts w:hint="eastAsia"/>
                      <w:sz w:val="18"/>
                      <w:szCs w:val="18"/>
                      <w:lang w:val="en-US" w:eastAsia="zh-CN"/>
                    </w:rPr>
                    <w:t>14</w:t>
                  </w:r>
                </w:p>
              </w:tc>
              <w:tc>
                <w:tcPr>
                  <w:tcW w:w="970" w:type="dxa"/>
                  <w:noWrap w:val="0"/>
                  <w:vAlign w:val="center"/>
                </w:tcPr>
                <w:p>
                  <w:pPr>
                    <w:widowControl/>
                    <w:adjustRightInd w:val="0"/>
                    <w:snapToGrid w:val="0"/>
                    <w:jc w:val="center"/>
                    <w:rPr>
                      <w:rFonts w:hint="eastAsia" w:eastAsia="宋体"/>
                      <w:sz w:val="18"/>
                      <w:szCs w:val="18"/>
                      <w:lang w:eastAsia="zh-CN"/>
                    </w:rPr>
                  </w:pPr>
                  <w:r>
                    <w:rPr>
                      <w:rFonts w:hint="eastAsia"/>
                      <w:sz w:val="18"/>
                      <w:szCs w:val="18"/>
                      <w:lang w:val="en-US" w:eastAsia="zh-CN"/>
                    </w:rPr>
                    <w:t>8</w:t>
                  </w:r>
                </w:p>
              </w:tc>
              <w:tc>
                <w:tcPr>
                  <w:tcW w:w="1197" w:type="dxa"/>
                  <w:noWrap w:val="0"/>
                  <w:vAlign w:val="center"/>
                </w:tcPr>
                <w:p>
                  <w:pPr>
                    <w:widowControl/>
                    <w:adjustRightInd w:val="0"/>
                    <w:snapToGrid w:val="0"/>
                    <w:jc w:val="center"/>
                    <w:rPr>
                      <w:sz w:val="18"/>
                      <w:szCs w:val="18"/>
                    </w:rPr>
                  </w:pPr>
                  <w:r>
                    <w:rPr>
                      <w:sz w:val="18"/>
                      <w:szCs w:val="18"/>
                    </w:rPr>
                    <w:t>非甲烷总烃</w:t>
                  </w:r>
                </w:p>
              </w:tc>
              <w:tc>
                <w:tcPr>
                  <w:tcW w:w="981" w:type="dxa"/>
                  <w:noWrap w:val="0"/>
                  <w:vAlign w:val="center"/>
                </w:tcPr>
                <w:p>
                  <w:pPr>
                    <w:widowControl/>
                    <w:jc w:val="center"/>
                    <w:textAlignment w:val="center"/>
                    <w:rPr>
                      <w:rFonts w:hint="default" w:eastAsia="宋体"/>
                      <w:sz w:val="18"/>
                      <w:szCs w:val="18"/>
                      <w:lang w:val="en-US" w:eastAsia="zh-CN"/>
                    </w:rPr>
                  </w:pPr>
                  <w:r>
                    <w:rPr>
                      <w:rFonts w:hint="eastAsia"/>
                      <w:sz w:val="18"/>
                      <w:szCs w:val="18"/>
                      <w:lang w:val="en-US" w:eastAsia="zh-CN"/>
                    </w:rPr>
                    <w:t>0.0052</w:t>
                  </w:r>
                </w:p>
              </w:tc>
            </w:tr>
          </w:tbl>
          <w:p>
            <w:pPr>
              <w:widowControl/>
              <w:spacing w:line="480" w:lineRule="exact"/>
              <w:ind w:firstLine="420" w:firstLineChars="200"/>
              <w:jc w:val="left"/>
              <w:rPr>
                <w:szCs w:val="21"/>
              </w:rPr>
            </w:pPr>
            <w:r>
              <w:rPr>
                <w:rFonts w:hint="eastAsia" w:ascii="宋体" w:hAnsi="宋体" w:cs="宋体"/>
                <w:szCs w:val="21"/>
              </w:rPr>
              <w:t>②</w:t>
            </w:r>
            <w:r>
              <w:rPr>
                <w:szCs w:val="21"/>
              </w:rPr>
              <w:t>污染物排放量核算</w:t>
            </w:r>
          </w:p>
          <w:p>
            <w:pPr>
              <w:widowControl/>
              <w:spacing w:line="480" w:lineRule="exact"/>
              <w:ind w:firstLine="420" w:firstLineChars="200"/>
              <w:jc w:val="left"/>
              <w:rPr>
                <w:szCs w:val="21"/>
              </w:rPr>
            </w:pPr>
            <w:r>
              <w:rPr>
                <w:szCs w:val="21"/>
              </w:rPr>
              <w:t>本项目有组织废气排放量核算见表4-14。</w:t>
            </w:r>
          </w:p>
          <w:p>
            <w:pPr>
              <w:pStyle w:val="59"/>
              <w:spacing w:before="0" w:line="480" w:lineRule="exact"/>
              <w:jc w:val="center"/>
              <w:rPr>
                <w:rFonts w:eastAsia="宋体"/>
                <w:kern w:val="2"/>
                <w:sz w:val="18"/>
                <w:szCs w:val="18"/>
              </w:rPr>
            </w:pPr>
            <w:r>
              <w:rPr>
                <w:rFonts w:eastAsia="宋体"/>
                <w:kern w:val="2"/>
                <w:sz w:val="18"/>
                <w:szCs w:val="18"/>
              </w:rPr>
              <w:t>表4-14  大气污染物有组织排放量核算表</w:t>
            </w:r>
          </w:p>
          <w:tbl>
            <w:tblPr>
              <w:tblStyle w:val="21"/>
              <w:tblW w:w="8038"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399"/>
              <w:gridCol w:w="1328"/>
              <w:gridCol w:w="1468"/>
              <w:gridCol w:w="1344"/>
              <w:gridCol w:w="135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141" w:type="dxa"/>
                  <w:noWrap w:val="0"/>
                  <w:vAlign w:val="center"/>
                </w:tcPr>
                <w:p>
                  <w:pPr>
                    <w:pStyle w:val="59"/>
                    <w:spacing w:before="0" w:line="240" w:lineRule="auto"/>
                    <w:jc w:val="center"/>
                    <w:rPr>
                      <w:rFonts w:eastAsia="宋体"/>
                      <w:sz w:val="18"/>
                      <w:szCs w:val="18"/>
                    </w:rPr>
                  </w:pPr>
                  <w:r>
                    <w:rPr>
                      <w:rFonts w:eastAsia="宋体"/>
                      <w:sz w:val="18"/>
                      <w:szCs w:val="18"/>
                    </w:rPr>
                    <w:t>序号</w:t>
                  </w:r>
                </w:p>
              </w:tc>
              <w:tc>
                <w:tcPr>
                  <w:tcW w:w="1399" w:type="dxa"/>
                  <w:noWrap w:val="0"/>
                  <w:vAlign w:val="center"/>
                </w:tcPr>
                <w:p>
                  <w:pPr>
                    <w:pStyle w:val="59"/>
                    <w:spacing w:before="0" w:line="240" w:lineRule="auto"/>
                    <w:jc w:val="center"/>
                    <w:rPr>
                      <w:rFonts w:eastAsia="宋体"/>
                      <w:sz w:val="18"/>
                      <w:szCs w:val="18"/>
                    </w:rPr>
                  </w:pPr>
                  <w:r>
                    <w:rPr>
                      <w:rFonts w:eastAsia="宋体"/>
                      <w:sz w:val="18"/>
                      <w:szCs w:val="18"/>
                    </w:rPr>
                    <w:t>排放口编号</w:t>
                  </w:r>
                </w:p>
              </w:tc>
              <w:tc>
                <w:tcPr>
                  <w:tcW w:w="1328" w:type="dxa"/>
                  <w:noWrap w:val="0"/>
                  <w:vAlign w:val="center"/>
                </w:tcPr>
                <w:p>
                  <w:pPr>
                    <w:pStyle w:val="59"/>
                    <w:spacing w:before="0" w:line="240" w:lineRule="auto"/>
                    <w:jc w:val="center"/>
                    <w:rPr>
                      <w:rFonts w:eastAsia="宋体"/>
                      <w:sz w:val="18"/>
                      <w:szCs w:val="18"/>
                    </w:rPr>
                  </w:pPr>
                  <w:r>
                    <w:rPr>
                      <w:rFonts w:eastAsia="宋体"/>
                      <w:sz w:val="18"/>
                      <w:szCs w:val="18"/>
                    </w:rPr>
                    <w:t>污染物</w:t>
                  </w:r>
                </w:p>
              </w:tc>
              <w:tc>
                <w:tcPr>
                  <w:tcW w:w="1468" w:type="dxa"/>
                  <w:noWrap w:val="0"/>
                  <w:vAlign w:val="center"/>
                </w:tcPr>
                <w:p>
                  <w:pPr>
                    <w:pStyle w:val="59"/>
                    <w:spacing w:before="0" w:line="240" w:lineRule="auto"/>
                    <w:jc w:val="center"/>
                    <w:rPr>
                      <w:rFonts w:eastAsia="宋体"/>
                      <w:sz w:val="18"/>
                      <w:szCs w:val="18"/>
                    </w:rPr>
                  </w:pPr>
                  <w:r>
                    <w:rPr>
                      <w:rFonts w:eastAsia="宋体"/>
                      <w:sz w:val="18"/>
                      <w:szCs w:val="18"/>
                    </w:rPr>
                    <w:t>核算排放浓度（mg/m</w:t>
                  </w:r>
                  <w:r>
                    <w:rPr>
                      <w:rFonts w:eastAsia="宋体"/>
                      <w:sz w:val="18"/>
                      <w:szCs w:val="18"/>
                      <w:vertAlign w:val="superscript"/>
                    </w:rPr>
                    <w:t>3</w:t>
                  </w:r>
                  <w:r>
                    <w:rPr>
                      <w:rFonts w:eastAsia="宋体"/>
                      <w:sz w:val="18"/>
                      <w:szCs w:val="18"/>
                    </w:rPr>
                    <w:t>）</w:t>
                  </w:r>
                </w:p>
              </w:tc>
              <w:tc>
                <w:tcPr>
                  <w:tcW w:w="1344" w:type="dxa"/>
                  <w:noWrap w:val="0"/>
                  <w:vAlign w:val="center"/>
                </w:tcPr>
                <w:p>
                  <w:pPr>
                    <w:pStyle w:val="59"/>
                    <w:spacing w:before="0" w:line="240" w:lineRule="auto"/>
                    <w:jc w:val="center"/>
                    <w:rPr>
                      <w:rFonts w:eastAsia="宋体"/>
                      <w:sz w:val="18"/>
                      <w:szCs w:val="18"/>
                    </w:rPr>
                  </w:pPr>
                  <w:r>
                    <w:rPr>
                      <w:rFonts w:eastAsia="宋体"/>
                      <w:sz w:val="18"/>
                      <w:szCs w:val="18"/>
                    </w:rPr>
                    <w:t>核算排放速率（kg/h）</w:t>
                  </w:r>
                </w:p>
              </w:tc>
              <w:tc>
                <w:tcPr>
                  <w:tcW w:w="1358" w:type="dxa"/>
                  <w:noWrap w:val="0"/>
                  <w:vAlign w:val="center"/>
                </w:tcPr>
                <w:p>
                  <w:pPr>
                    <w:pStyle w:val="59"/>
                    <w:spacing w:before="0" w:line="240" w:lineRule="auto"/>
                    <w:jc w:val="center"/>
                    <w:rPr>
                      <w:rFonts w:eastAsia="宋体"/>
                      <w:sz w:val="18"/>
                      <w:szCs w:val="18"/>
                    </w:rPr>
                  </w:pPr>
                  <w:r>
                    <w:rPr>
                      <w:rFonts w:eastAsia="宋体"/>
                      <w:sz w:val="18"/>
                      <w:szCs w:val="18"/>
                    </w:rPr>
                    <w:t>核算排放量（t/a）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038" w:type="dxa"/>
                  <w:gridSpan w:val="6"/>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一般排放口</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41" w:type="dxa"/>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1</w:t>
                  </w:r>
                </w:p>
              </w:tc>
              <w:tc>
                <w:tcPr>
                  <w:tcW w:w="1399" w:type="dxa"/>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DA001</w:t>
                  </w:r>
                </w:p>
              </w:tc>
              <w:tc>
                <w:tcPr>
                  <w:tcW w:w="1328" w:type="dxa"/>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非甲烷总烃</w:t>
                  </w:r>
                </w:p>
              </w:tc>
              <w:tc>
                <w:tcPr>
                  <w:tcW w:w="1468" w:type="dxa"/>
                  <w:noWrap w:val="0"/>
                  <w:vAlign w:val="center"/>
                </w:tcPr>
                <w:p>
                  <w:pPr>
                    <w:widowControl/>
                    <w:jc w:val="center"/>
                    <w:textAlignment w:val="center"/>
                    <w:rPr>
                      <w:kern w:val="44"/>
                      <w:sz w:val="18"/>
                      <w:szCs w:val="18"/>
                    </w:rPr>
                  </w:pPr>
                  <w:r>
                    <w:rPr>
                      <w:rFonts w:hint="eastAsia"/>
                      <w:sz w:val="18"/>
                      <w:szCs w:val="18"/>
                      <w:lang w:val="en-US" w:eastAsia="zh-CN"/>
                    </w:rPr>
                    <w:t>1.7</w:t>
                  </w:r>
                </w:p>
              </w:tc>
              <w:tc>
                <w:tcPr>
                  <w:tcW w:w="1344" w:type="dxa"/>
                  <w:noWrap w:val="0"/>
                  <w:vAlign w:val="center"/>
                </w:tcPr>
                <w:p>
                  <w:pPr>
                    <w:widowControl/>
                    <w:jc w:val="center"/>
                    <w:textAlignment w:val="center"/>
                    <w:rPr>
                      <w:kern w:val="44"/>
                      <w:sz w:val="18"/>
                      <w:szCs w:val="18"/>
                    </w:rPr>
                  </w:pPr>
                  <w:r>
                    <w:rPr>
                      <w:rFonts w:hint="eastAsia"/>
                      <w:sz w:val="18"/>
                      <w:szCs w:val="18"/>
                      <w:lang w:val="en-US" w:eastAsia="zh-CN"/>
                    </w:rPr>
                    <w:t>0.0047</w:t>
                  </w:r>
                </w:p>
              </w:tc>
              <w:tc>
                <w:tcPr>
                  <w:tcW w:w="1358" w:type="dxa"/>
                  <w:noWrap w:val="0"/>
                  <w:vAlign w:val="center"/>
                </w:tcPr>
                <w:p>
                  <w:pPr>
                    <w:widowControl/>
                    <w:jc w:val="center"/>
                    <w:textAlignment w:val="center"/>
                    <w:rPr>
                      <w:kern w:val="44"/>
                      <w:sz w:val="18"/>
                      <w:szCs w:val="18"/>
                    </w:rPr>
                  </w:pPr>
                  <w:r>
                    <w:rPr>
                      <w:rFonts w:hint="eastAsia"/>
                      <w:sz w:val="18"/>
                      <w:szCs w:val="18"/>
                      <w:lang w:val="en-US" w:eastAsia="zh-CN"/>
                    </w:rPr>
                    <w:t>0.01125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8038" w:type="dxa"/>
                  <w:gridSpan w:val="6"/>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有组织排放总计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540" w:type="dxa"/>
                  <w:gridSpan w:val="2"/>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有组织排放总计</w:t>
                  </w:r>
                </w:p>
              </w:tc>
              <w:tc>
                <w:tcPr>
                  <w:tcW w:w="4140" w:type="dxa"/>
                  <w:gridSpan w:val="3"/>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非甲烷总烃</w:t>
                  </w:r>
                </w:p>
              </w:tc>
              <w:tc>
                <w:tcPr>
                  <w:tcW w:w="1358" w:type="dxa"/>
                  <w:noWrap w:val="0"/>
                  <w:vAlign w:val="center"/>
                </w:tcPr>
                <w:p>
                  <w:pPr>
                    <w:widowControl/>
                    <w:jc w:val="center"/>
                    <w:textAlignment w:val="center"/>
                    <w:rPr>
                      <w:sz w:val="18"/>
                      <w:szCs w:val="18"/>
                    </w:rPr>
                  </w:pPr>
                  <w:r>
                    <w:rPr>
                      <w:rFonts w:hint="eastAsia"/>
                      <w:sz w:val="18"/>
                      <w:szCs w:val="18"/>
                      <w:lang w:val="en-US" w:eastAsia="zh-CN"/>
                    </w:rPr>
                    <w:t>0.01125</w:t>
                  </w:r>
                </w:p>
              </w:tc>
            </w:tr>
          </w:tbl>
          <w:p>
            <w:pPr>
              <w:pStyle w:val="59"/>
              <w:spacing w:before="0" w:line="480" w:lineRule="exact"/>
              <w:ind w:firstLine="420" w:firstLineChars="200"/>
              <w:rPr>
                <w:rFonts w:eastAsia="宋体"/>
                <w:b w:val="0"/>
                <w:bCs w:val="0"/>
              </w:rPr>
            </w:pPr>
            <w:r>
              <w:rPr>
                <w:rFonts w:eastAsia="宋体"/>
                <w:b w:val="0"/>
                <w:bCs w:val="0"/>
                <w:kern w:val="2"/>
                <w:sz w:val="21"/>
                <w:szCs w:val="21"/>
              </w:rPr>
              <w:t>本项目无组织废气排放量核算见表4-15。</w:t>
            </w:r>
          </w:p>
          <w:p>
            <w:pPr>
              <w:pStyle w:val="59"/>
              <w:spacing w:before="0" w:line="480" w:lineRule="exact"/>
              <w:jc w:val="center"/>
              <w:rPr>
                <w:rFonts w:eastAsia="宋体"/>
                <w:kern w:val="2"/>
                <w:sz w:val="18"/>
                <w:szCs w:val="18"/>
              </w:rPr>
            </w:pPr>
            <w:r>
              <w:rPr>
                <w:rFonts w:eastAsia="宋体"/>
                <w:kern w:val="2"/>
                <w:sz w:val="18"/>
                <w:szCs w:val="18"/>
              </w:rPr>
              <w:t>表4-15  大气污染物无组织排放量核算表</w:t>
            </w:r>
          </w:p>
          <w:tbl>
            <w:tblPr>
              <w:tblStyle w:val="21"/>
              <w:tblW w:w="8041"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71"/>
              <w:gridCol w:w="706"/>
              <w:gridCol w:w="1180"/>
              <w:gridCol w:w="653"/>
              <w:gridCol w:w="2554"/>
              <w:gridCol w:w="936"/>
              <w:gridCol w:w="80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534" w:type="dxa"/>
                  <w:vMerge w:val="restart"/>
                  <w:noWrap w:val="0"/>
                  <w:vAlign w:val="center"/>
                </w:tcPr>
                <w:p>
                  <w:pPr>
                    <w:pStyle w:val="59"/>
                    <w:spacing w:before="0" w:line="240" w:lineRule="auto"/>
                    <w:jc w:val="center"/>
                    <w:rPr>
                      <w:rFonts w:eastAsia="宋体"/>
                      <w:sz w:val="18"/>
                      <w:szCs w:val="18"/>
                    </w:rPr>
                  </w:pPr>
                  <w:r>
                    <w:rPr>
                      <w:rFonts w:eastAsia="宋体"/>
                      <w:sz w:val="18"/>
                      <w:szCs w:val="18"/>
                    </w:rPr>
                    <w:t>序号</w:t>
                  </w:r>
                </w:p>
              </w:tc>
              <w:tc>
                <w:tcPr>
                  <w:tcW w:w="671" w:type="dxa"/>
                  <w:vMerge w:val="restart"/>
                  <w:noWrap w:val="0"/>
                  <w:vAlign w:val="center"/>
                </w:tcPr>
                <w:p>
                  <w:pPr>
                    <w:pStyle w:val="59"/>
                    <w:spacing w:before="0" w:line="240" w:lineRule="auto"/>
                    <w:jc w:val="center"/>
                    <w:rPr>
                      <w:rFonts w:eastAsia="宋体"/>
                      <w:sz w:val="18"/>
                      <w:szCs w:val="18"/>
                    </w:rPr>
                  </w:pPr>
                  <w:r>
                    <w:rPr>
                      <w:rFonts w:eastAsia="宋体"/>
                      <w:sz w:val="18"/>
                      <w:szCs w:val="18"/>
                    </w:rPr>
                    <w:t>排放口编号</w:t>
                  </w:r>
                </w:p>
              </w:tc>
              <w:tc>
                <w:tcPr>
                  <w:tcW w:w="706" w:type="dxa"/>
                  <w:vMerge w:val="restart"/>
                  <w:noWrap w:val="0"/>
                  <w:vAlign w:val="center"/>
                </w:tcPr>
                <w:p>
                  <w:pPr>
                    <w:pStyle w:val="59"/>
                    <w:spacing w:before="0" w:line="240" w:lineRule="auto"/>
                    <w:jc w:val="center"/>
                    <w:rPr>
                      <w:rFonts w:eastAsia="宋体"/>
                      <w:sz w:val="18"/>
                      <w:szCs w:val="18"/>
                    </w:rPr>
                  </w:pPr>
                  <w:r>
                    <w:rPr>
                      <w:rFonts w:eastAsia="宋体"/>
                      <w:sz w:val="18"/>
                      <w:szCs w:val="18"/>
                    </w:rPr>
                    <w:t>产污环节</w:t>
                  </w:r>
                </w:p>
              </w:tc>
              <w:tc>
                <w:tcPr>
                  <w:tcW w:w="1180" w:type="dxa"/>
                  <w:vMerge w:val="restart"/>
                  <w:noWrap w:val="0"/>
                  <w:vAlign w:val="center"/>
                </w:tcPr>
                <w:p>
                  <w:pPr>
                    <w:pStyle w:val="59"/>
                    <w:spacing w:before="0" w:line="240" w:lineRule="auto"/>
                    <w:jc w:val="center"/>
                    <w:rPr>
                      <w:rFonts w:eastAsia="宋体"/>
                      <w:sz w:val="18"/>
                      <w:szCs w:val="18"/>
                    </w:rPr>
                  </w:pPr>
                  <w:r>
                    <w:rPr>
                      <w:rFonts w:eastAsia="宋体"/>
                      <w:sz w:val="18"/>
                      <w:szCs w:val="18"/>
                    </w:rPr>
                    <w:t>污染物</w:t>
                  </w:r>
                </w:p>
              </w:tc>
              <w:tc>
                <w:tcPr>
                  <w:tcW w:w="653" w:type="dxa"/>
                  <w:vMerge w:val="restart"/>
                  <w:noWrap w:val="0"/>
                  <w:vAlign w:val="center"/>
                </w:tcPr>
                <w:p>
                  <w:pPr>
                    <w:pStyle w:val="59"/>
                    <w:spacing w:before="0" w:line="240" w:lineRule="auto"/>
                    <w:jc w:val="center"/>
                    <w:rPr>
                      <w:rFonts w:eastAsia="宋体"/>
                      <w:sz w:val="18"/>
                      <w:szCs w:val="18"/>
                    </w:rPr>
                  </w:pPr>
                  <w:r>
                    <w:rPr>
                      <w:rFonts w:eastAsia="宋体"/>
                      <w:sz w:val="18"/>
                      <w:szCs w:val="18"/>
                    </w:rPr>
                    <w:t>主要防治措施</w:t>
                  </w:r>
                </w:p>
              </w:tc>
              <w:tc>
                <w:tcPr>
                  <w:tcW w:w="3490" w:type="dxa"/>
                  <w:gridSpan w:val="2"/>
                  <w:noWrap w:val="0"/>
                  <w:vAlign w:val="center"/>
                </w:tcPr>
                <w:p>
                  <w:pPr>
                    <w:pStyle w:val="59"/>
                    <w:spacing w:before="0" w:line="240" w:lineRule="auto"/>
                    <w:jc w:val="center"/>
                    <w:rPr>
                      <w:rFonts w:eastAsia="宋体"/>
                      <w:sz w:val="18"/>
                      <w:szCs w:val="18"/>
                    </w:rPr>
                  </w:pPr>
                  <w:r>
                    <w:rPr>
                      <w:rFonts w:eastAsia="宋体"/>
                      <w:sz w:val="18"/>
                      <w:szCs w:val="18"/>
                    </w:rPr>
                    <w:t>国家地方污染物排放标准</w:t>
                  </w:r>
                </w:p>
              </w:tc>
              <w:tc>
                <w:tcPr>
                  <w:tcW w:w="807" w:type="dxa"/>
                  <w:vMerge w:val="restart"/>
                  <w:noWrap w:val="0"/>
                  <w:vAlign w:val="center"/>
                </w:tcPr>
                <w:p>
                  <w:pPr>
                    <w:pStyle w:val="59"/>
                    <w:spacing w:before="0" w:line="240" w:lineRule="auto"/>
                    <w:jc w:val="center"/>
                    <w:rPr>
                      <w:rFonts w:eastAsia="宋体"/>
                      <w:sz w:val="18"/>
                      <w:szCs w:val="18"/>
                    </w:rPr>
                  </w:pPr>
                  <w:r>
                    <w:rPr>
                      <w:rFonts w:eastAsia="宋体"/>
                      <w:sz w:val="18"/>
                      <w:szCs w:val="18"/>
                    </w:rPr>
                    <w:t>年排放量t/a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534" w:type="dxa"/>
                  <w:vMerge w:val="continue"/>
                  <w:noWrap w:val="0"/>
                  <w:vAlign w:val="center"/>
                </w:tcPr>
                <w:p>
                  <w:pPr>
                    <w:pStyle w:val="59"/>
                    <w:spacing w:before="0" w:line="240" w:lineRule="auto"/>
                    <w:jc w:val="center"/>
                    <w:rPr>
                      <w:rFonts w:eastAsia="宋体"/>
                      <w:sz w:val="18"/>
                      <w:szCs w:val="18"/>
                    </w:rPr>
                  </w:pPr>
                </w:p>
              </w:tc>
              <w:tc>
                <w:tcPr>
                  <w:tcW w:w="671" w:type="dxa"/>
                  <w:vMerge w:val="continue"/>
                  <w:noWrap w:val="0"/>
                  <w:vAlign w:val="center"/>
                </w:tcPr>
                <w:p>
                  <w:pPr>
                    <w:pStyle w:val="59"/>
                    <w:spacing w:before="0" w:line="240" w:lineRule="auto"/>
                    <w:jc w:val="center"/>
                    <w:rPr>
                      <w:rFonts w:eastAsia="宋体"/>
                      <w:sz w:val="18"/>
                      <w:szCs w:val="18"/>
                    </w:rPr>
                  </w:pPr>
                </w:p>
              </w:tc>
              <w:tc>
                <w:tcPr>
                  <w:tcW w:w="706" w:type="dxa"/>
                  <w:vMerge w:val="continue"/>
                  <w:noWrap w:val="0"/>
                  <w:vAlign w:val="center"/>
                </w:tcPr>
                <w:p>
                  <w:pPr>
                    <w:pStyle w:val="59"/>
                    <w:spacing w:before="0" w:line="240" w:lineRule="auto"/>
                    <w:jc w:val="center"/>
                    <w:rPr>
                      <w:rFonts w:eastAsia="宋体"/>
                      <w:sz w:val="18"/>
                      <w:szCs w:val="18"/>
                    </w:rPr>
                  </w:pPr>
                </w:p>
              </w:tc>
              <w:tc>
                <w:tcPr>
                  <w:tcW w:w="1180" w:type="dxa"/>
                  <w:vMerge w:val="continue"/>
                  <w:noWrap w:val="0"/>
                  <w:vAlign w:val="center"/>
                </w:tcPr>
                <w:p>
                  <w:pPr>
                    <w:pStyle w:val="59"/>
                    <w:spacing w:before="0" w:line="240" w:lineRule="auto"/>
                    <w:jc w:val="center"/>
                    <w:rPr>
                      <w:rFonts w:eastAsia="宋体"/>
                      <w:sz w:val="18"/>
                      <w:szCs w:val="18"/>
                    </w:rPr>
                  </w:pPr>
                </w:p>
              </w:tc>
              <w:tc>
                <w:tcPr>
                  <w:tcW w:w="653" w:type="dxa"/>
                  <w:vMerge w:val="continue"/>
                  <w:noWrap w:val="0"/>
                  <w:vAlign w:val="center"/>
                </w:tcPr>
                <w:p>
                  <w:pPr>
                    <w:pStyle w:val="59"/>
                    <w:spacing w:before="0" w:line="240" w:lineRule="auto"/>
                    <w:jc w:val="center"/>
                    <w:rPr>
                      <w:rFonts w:eastAsia="宋体"/>
                      <w:sz w:val="18"/>
                      <w:szCs w:val="18"/>
                    </w:rPr>
                  </w:pPr>
                </w:p>
              </w:tc>
              <w:tc>
                <w:tcPr>
                  <w:tcW w:w="2554" w:type="dxa"/>
                  <w:noWrap w:val="0"/>
                  <w:vAlign w:val="center"/>
                </w:tcPr>
                <w:p>
                  <w:pPr>
                    <w:pStyle w:val="59"/>
                    <w:spacing w:before="0" w:line="240" w:lineRule="auto"/>
                    <w:jc w:val="center"/>
                    <w:rPr>
                      <w:rFonts w:eastAsia="宋体"/>
                      <w:sz w:val="18"/>
                      <w:szCs w:val="18"/>
                    </w:rPr>
                  </w:pPr>
                  <w:r>
                    <w:rPr>
                      <w:rFonts w:eastAsia="宋体"/>
                      <w:sz w:val="18"/>
                      <w:szCs w:val="18"/>
                    </w:rPr>
                    <w:t>标准名称</w:t>
                  </w:r>
                </w:p>
              </w:tc>
              <w:tc>
                <w:tcPr>
                  <w:tcW w:w="936" w:type="dxa"/>
                  <w:noWrap w:val="0"/>
                  <w:vAlign w:val="center"/>
                </w:tcPr>
                <w:p>
                  <w:pPr>
                    <w:pStyle w:val="59"/>
                    <w:spacing w:before="0" w:line="240" w:lineRule="auto"/>
                    <w:jc w:val="center"/>
                    <w:rPr>
                      <w:rFonts w:eastAsia="宋体"/>
                      <w:sz w:val="18"/>
                      <w:szCs w:val="18"/>
                    </w:rPr>
                  </w:pPr>
                  <w:r>
                    <w:rPr>
                      <w:rFonts w:eastAsia="宋体"/>
                      <w:sz w:val="18"/>
                      <w:szCs w:val="18"/>
                    </w:rPr>
                    <w:t>浓度限值mg/m</w:t>
                  </w:r>
                  <w:r>
                    <w:rPr>
                      <w:rFonts w:eastAsia="宋体"/>
                      <w:sz w:val="18"/>
                      <w:szCs w:val="18"/>
                      <w:vertAlign w:val="superscript"/>
                    </w:rPr>
                    <w:t>3</w:t>
                  </w:r>
                </w:p>
              </w:tc>
              <w:tc>
                <w:tcPr>
                  <w:tcW w:w="807" w:type="dxa"/>
                  <w:vMerge w:val="continue"/>
                  <w:noWrap w:val="0"/>
                  <w:vAlign w:val="center"/>
                </w:tcPr>
                <w:p>
                  <w:pPr>
                    <w:pStyle w:val="59"/>
                    <w:spacing w:before="0" w:line="240" w:lineRule="auto"/>
                    <w:jc w:val="center"/>
                    <w:rPr>
                      <w:rFonts w:eastAsia="宋体"/>
                      <w:b w:val="0"/>
                      <w:bCs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534" w:type="dxa"/>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1</w:t>
                  </w:r>
                </w:p>
              </w:tc>
              <w:tc>
                <w:tcPr>
                  <w:tcW w:w="671" w:type="dxa"/>
                  <w:noWrap w:val="0"/>
                  <w:vAlign w:val="center"/>
                </w:tcPr>
                <w:p>
                  <w:pPr>
                    <w:widowControl/>
                    <w:jc w:val="center"/>
                    <w:textAlignment w:val="center"/>
                    <w:rPr>
                      <w:kern w:val="44"/>
                      <w:sz w:val="18"/>
                      <w:szCs w:val="18"/>
                    </w:rPr>
                  </w:pPr>
                  <w:r>
                    <w:rPr>
                      <w:kern w:val="44"/>
                      <w:sz w:val="18"/>
                      <w:szCs w:val="18"/>
                    </w:rPr>
                    <w:t>生产车间</w:t>
                  </w:r>
                </w:p>
              </w:tc>
              <w:tc>
                <w:tcPr>
                  <w:tcW w:w="706" w:type="dxa"/>
                  <w:noWrap w:val="0"/>
                  <w:vAlign w:val="center"/>
                </w:tcPr>
                <w:p>
                  <w:pPr>
                    <w:pStyle w:val="59"/>
                    <w:spacing w:before="0" w:line="240" w:lineRule="auto"/>
                    <w:jc w:val="center"/>
                    <w:rPr>
                      <w:rFonts w:eastAsia="宋体"/>
                      <w:b w:val="0"/>
                      <w:bCs w:val="0"/>
                      <w:sz w:val="18"/>
                      <w:szCs w:val="18"/>
                    </w:rPr>
                  </w:pPr>
                  <w:r>
                    <w:rPr>
                      <w:rFonts w:hint="eastAsia" w:eastAsia="宋体"/>
                      <w:b w:val="0"/>
                      <w:bCs w:val="0"/>
                      <w:sz w:val="18"/>
                      <w:szCs w:val="18"/>
                    </w:rPr>
                    <w:t>吹塑、</w:t>
                  </w:r>
                  <w:r>
                    <w:rPr>
                      <w:rFonts w:hint="eastAsia" w:eastAsia="宋体"/>
                      <w:b w:val="0"/>
                      <w:bCs w:val="0"/>
                      <w:sz w:val="18"/>
                      <w:szCs w:val="18"/>
                      <w:lang w:val="en-US" w:eastAsia="zh-CN"/>
                    </w:rPr>
                    <w:t>制袋、烫袋</w:t>
                  </w:r>
                </w:p>
              </w:tc>
              <w:tc>
                <w:tcPr>
                  <w:tcW w:w="1180" w:type="dxa"/>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非甲烷总烃</w:t>
                  </w:r>
                </w:p>
              </w:tc>
              <w:tc>
                <w:tcPr>
                  <w:tcW w:w="653" w:type="dxa"/>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车间</w:t>
                  </w:r>
                </w:p>
                <w:p>
                  <w:pPr>
                    <w:pStyle w:val="59"/>
                    <w:spacing w:before="0" w:line="240" w:lineRule="auto"/>
                    <w:jc w:val="center"/>
                    <w:rPr>
                      <w:rFonts w:eastAsia="宋体"/>
                      <w:b w:val="0"/>
                      <w:bCs w:val="0"/>
                      <w:sz w:val="18"/>
                      <w:szCs w:val="18"/>
                    </w:rPr>
                  </w:pPr>
                  <w:r>
                    <w:rPr>
                      <w:rFonts w:eastAsia="宋体"/>
                      <w:b w:val="0"/>
                      <w:bCs w:val="0"/>
                      <w:sz w:val="18"/>
                      <w:szCs w:val="18"/>
                    </w:rPr>
                    <w:t>通风</w:t>
                  </w:r>
                </w:p>
              </w:tc>
              <w:tc>
                <w:tcPr>
                  <w:tcW w:w="2554" w:type="dxa"/>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《合成树脂工业污染物排放标准》（GB31572-2015）表9</w:t>
                  </w:r>
                </w:p>
              </w:tc>
              <w:tc>
                <w:tcPr>
                  <w:tcW w:w="936" w:type="dxa"/>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4.0</w:t>
                  </w:r>
                </w:p>
              </w:tc>
              <w:tc>
                <w:tcPr>
                  <w:tcW w:w="807" w:type="dxa"/>
                  <w:noWrap w:val="0"/>
                  <w:vAlign w:val="center"/>
                </w:tcPr>
                <w:p>
                  <w:pPr>
                    <w:widowControl/>
                    <w:jc w:val="center"/>
                    <w:textAlignment w:val="center"/>
                    <w:rPr>
                      <w:kern w:val="44"/>
                      <w:sz w:val="18"/>
                      <w:szCs w:val="18"/>
                    </w:rPr>
                  </w:pPr>
                  <w:r>
                    <w:rPr>
                      <w:rFonts w:hint="eastAsia"/>
                      <w:kern w:val="44"/>
                      <w:sz w:val="18"/>
                      <w:szCs w:val="18"/>
                      <w:lang w:val="en-US" w:eastAsia="zh-CN"/>
                    </w:rPr>
                    <w:t>0.0125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8041" w:type="dxa"/>
                  <w:gridSpan w:val="8"/>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无组织排放总计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091" w:type="dxa"/>
                  <w:gridSpan w:val="4"/>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无组织排放总计</w:t>
                  </w:r>
                </w:p>
              </w:tc>
              <w:tc>
                <w:tcPr>
                  <w:tcW w:w="4143" w:type="dxa"/>
                  <w:gridSpan w:val="3"/>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非甲烷总烃</w:t>
                  </w:r>
                </w:p>
              </w:tc>
              <w:tc>
                <w:tcPr>
                  <w:tcW w:w="807" w:type="dxa"/>
                  <w:noWrap w:val="0"/>
                  <w:vAlign w:val="center"/>
                </w:tcPr>
                <w:p>
                  <w:pPr>
                    <w:widowControl/>
                    <w:jc w:val="center"/>
                    <w:textAlignment w:val="center"/>
                    <w:rPr>
                      <w:kern w:val="44"/>
                      <w:sz w:val="18"/>
                      <w:szCs w:val="18"/>
                    </w:rPr>
                  </w:pPr>
                  <w:r>
                    <w:rPr>
                      <w:rFonts w:hint="eastAsia"/>
                      <w:kern w:val="44"/>
                      <w:sz w:val="18"/>
                      <w:szCs w:val="18"/>
                      <w:lang w:val="en-US" w:eastAsia="zh-CN"/>
                    </w:rPr>
                    <w:t>0.0125</w:t>
                  </w:r>
                </w:p>
              </w:tc>
            </w:tr>
          </w:tbl>
          <w:p>
            <w:pPr>
              <w:widowControl/>
              <w:autoSpaceDE w:val="0"/>
              <w:autoSpaceDN w:val="0"/>
              <w:spacing w:line="480" w:lineRule="exact"/>
              <w:ind w:firstLine="420" w:firstLineChars="200"/>
              <w:jc w:val="left"/>
              <w:rPr>
                <w:szCs w:val="21"/>
              </w:rPr>
            </w:pPr>
          </w:p>
          <w:p>
            <w:pPr>
              <w:widowControl/>
              <w:autoSpaceDE w:val="0"/>
              <w:autoSpaceDN w:val="0"/>
              <w:spacing w:line="480" w:lineRule="exact"/>
              <w:ind w:firstLine="420" w:firstLineChars="200"/>
              <w:jc w:val="left"/>
              <w:rPr>
                <w:szCs w:val="21"/>
              </w:rPr>
            </w:pPr>
          </w:p>
          <w:p>
            <w:pPr>
              <w:widowControl/>
              <w:autoSpaceDE w:val="0"/>
              <w:autoSpaceDN w:val="0"/>
              <w:spacing w:line="480" w:lineRule="exact"/>
              <w:ind w:firstLine="420" w:firstLineChars="200"/>
              <w:jc w:val="left"/>
              <w:rPr>
                <w:szCs w:val="21"/>
              </w:rPr>
            </w:pPr>
          </w:p>
          <w:p>
            <w:pPr>
              <w:widowControl/>
              <w:autoSpaceDE w:val="0"/>
              <w:autoSpaceDN w:val="0"/>
              <w:spacing w:line="480" w:lineRule="exact"/>
              <w:ind w:firstLine="420" w:firstLineChars="200"/>
              <w:jc w:val="left"/>
              <w:rPr>
                <w:szCs w:val="21"/>
              </w:rPr>
            </w:pPr>
          </w:p>
          <w:p>
            <w:pPr>
              <w:widowControl/>
              <w:autoSpaceDE w:val="0"/>
              <w:autoSpaceDN w:val="0"/>
              <w:spacing w:line="480" w:lineRule="exact"/>
              <w:ind w:firstLine="420" w:firstLineChars="200"/>
              <w:jc w:val="left"/>
              <w:rPr>
                <w:szCs w:val="21"/>
              </w:rPr>
            </w:pPr>
          </w:p>
          <w:p>
            <w:pPr>
              <w:widowControl/>
              <w:autoSpaceDE w:val="0"/>
              <w:autoSpaceDN w:val="0"/>
              <w:spacing w:line="480" w:lineRule="exact"/>
              <w:ind w:firstLine="422" w:firstLineChars="200"/>
              <w:jc w:val="left"/>
              <w:rPr>
                <w:b/>
                <w:bCs/>
                <w:szCs w:val="21"/>
              </w:rPr>
            </w:pPr>
            <w:r>
              <w:rPr>
                <w:rFonts w:hint="eastAsia"/>
                <w:b/>
                <w:bCs/>
                <w:szCs w:val="21"/>
                <w:lang w:val="en-US" w:eastAsia="zh-CN"/>
              </w:rPr>
              <w:t>6、</w:t>
            </w:r>
            <w:r>
              <w:rPr>
                <w:b/>
                <w:bCs/>
                <w:szCs w:val="21"/>
              </w:rPr>
              <w:t xml:space="preserve">卫生防护距离 </w:t>
            </w:r>
          </w:p>
          <w:p>
            <w:pPr>
              <w:widowControl/>
              <w:autoSpaceDE w:val="0"/>
              <w:autoSpaceDN w:val="0"/>
              <w:adjustRightInd w:val="0"/>
              <w:spacing w:line="480" w:lineRule="exact"/>
              <w:ind w:firstLine="420" w:firstLineChars="200"/>
              <w:jc w:val="left"/>
              <w:rPr>
                <w:szCs w:val="21"/>
              </w:rPr>
            </w:pPr>
            <w:r>
              <w:rPr>
                <w:szCs w:val="21"/>
              </w:rPr>
              <w:t>卫生防护距离计算公式采用《大气有害物质无组织排放卫生防护距离推导技术导则》（GB/T 39499-2020）中的公式，即：</w:t>
            </w:r>
          </w:p>
          <w:p>
            <w:pPr>
              <w:widowControl/>
              <w:autoSpaceDE w:val="0"/>
              <w:autoSpaceDN w:val="0"/>
              <w:adjustRightInd w:val="0"/>
              <w:spacing w:line="480" w:lineRule="exact"/>
              <w:ind w:firstLine="360" w:firstLineChars="200"/>
              <w:jc w:val="left"/>
              <w:rPr>
                <w:szCs w:val="21"/>
              </w:rPr>
            </w:pPr>
            <w:r>
              <w:rPr>
                <w:position w:val="-24"/>
                <w:sz w:val="18"/>
                <w:szCs w:val="18"/>
              </w:rPr>
              <w:pict>
                <v:shape id="Object 84" o:spid="_x0000_s1059" o:spt="75" type="#_x0000_t75" style="position:absolute;left:0pt;margin-left:128.8pt;margin-top:3.75pt;height:25.05pt;width:182.6pt;z-index:251660288;mso-width-relative:page;mso-height-relative:page;" o:ole="t" filled="f" o:preferrelative="t" stroked="f" coordsize="21600,21600">
                  <v:path/>
                  <v:fill on="f" focussize="0,0"/>
                  <v:stroke on="f"/>
                  <v:imagedata r:id="rId14" o:title=""/>
                  <o:lock v:ext="edit" aspectratio="t"/>
                </v:shape>
                <o:OLEObject Type="Embed" ProgID="" ShapeID="Object 84" DrawAspect="Content" ObjectID="_1468075727" r:id="rId13">
                  <o:LockedField>false</o:LockedField>
                </o:OLEObject>
              </w:pict>
            </w:r>
          </w:p>
          <w:p>
            <w:pPr>
              <w:widowControl/>
              <w:autoSpaceDE w:val="0"/>
              <w:autoSpaceDN w:val="0"/>
              <w:adjustRightInd w:val="0"/>
              <w:spacing w:line="480" w:lineRule="exact"/>
              <w:ind w:firstLine="420" w:firstLineChars="200"/>
              <w:jc w:val="left"/>
              <w:rPr>
                <w:szCs w:val="21"/>
              </w:rPr>
            </w:pPr>
            <w:r>
              <w:rPr>
                <w:szCs w:val="21"/>
              </w:rPr>
              <w:t xml:space="preserve">式中： </w:t>
            </w:r>
          </w:p>
          <w:p>
            <w:pPr>
              <w:widowControl/>
              <w:autoSpaceDE w:val="0"/>
              <w:autoSpaceDN w:val="0"/>
              <w:adjustRightInd w:val="0"/>
              <w:spacing w:line="480" w:lineRule="exact"/>
              <w:ind w:firstLine="420" w:firstLineChars="200"/>
              <w:jc w:val="left"/>
              <w:rPr>
                <w:szCs w:val="21"/>
              </w:rPr>
            </w:pPr>
            <w:r>
              <w:rPr>
                <w:szCs w:val="21"/>
              </w:rPr>
              <w:t>C</w:t>
            </w:r>
            <w:r>
              <w:rPr>
                <w:szCs w:val="21"/>
                <w:vertAlign w:val="subscript"/>
              </w:rPr>
              <w:t>m</w:t>
            </w:r>
            <w:r>
              <w:rPr>
                <w:szCs w:val="21"/>
              </w:rPr>
              <w:t>—环境一次浓度标准限值（mg/m</w:t>
            </w:r>
            <w:r>
              <w:rPr>
                <w:szCs w:val="21"/>
                <w:vertAlign w:val="superscript"/>
              </w:rPr>
              <w:t>3</w:t>
            </w:r>
            <w:r>
              <w:rPr>
                <w:szCs w:val="21"/>
              </w:rPr>
              <w:t>）；</w:t>
            </w:r>
          </w:p>
          <w:p>
            <w:pPr>
              <w:widowControl/>
              <w:autoSpaceDE w:val="0"/>
              <w:autoSpaceDN w:val="0"/>
              <w:adjustRightInd w:val="0"/>
              <w:spacing w:line="480" w:lineRule="exact"/>
              <w:ind w:firstLine="420" w:firstLineChars="200"/>
              <w:jc w:val="left"/>
              <w:rPr>
                <w:szCs w:val="21"/>
              </w:rPr>
            </w:pPr>
            <w:r>
              <w:rPr>
                <w:szCs w:val="21"/>
              </w:rPr>
              <w:t>L—工业企业所需的防护距离（m）；</w:t>
            </w:r>
          </w:p>
          <w:p>
            <w:pPr>
              <w:widowControl/>
              <w:autoSpaceDE w:val="0"/>
              <w:autoSpaceDN w:val="0"/>
              <w:adjustRightInd w:val="0"/>
              <w:spacing w:line="480" w:lineRule="exact"/>
              <w:ind w:firstLine="420" w:firstLineChars="200"/>
              <w:jc w:val="left"/>
              <w:rPr>
                <w:szCs w:val="21"/>
              </w:rPr>
            </w:pPr>
            <w:r>
              <w:rPr>
                <w:szCs w:val="21"/>
              </w:rPr>
              <w:t>Q</w:t>
            </w:r>
            <w:r>
              <w:rPr>
                <w:szCs w:val="21"/>
                <w:vertAlign w:val="subscript"/>
              </w:rPr>
              <w:t>c</w:t>
            </w:r>
            <w:r>
              <w:rPr>
                <w:szCs w:val="21"/>
              </w:rPr>
              <w:t>—有害气体无组织排放量可以达到的控制水平（kg/h）；</w:t>
            </w:r>
          </w:p>
          <w:p>
            <w:pPr>
              <w:widowControl/>
              <w:autoSpaceDE w:val="0"/>
              <w:autoSpaceDN w:val="0"/>
              <w:adjustRightInd w:val="0"/>
              <w:spacing w:line="480" w:lineRule="exact"/>
              <w:ind w:firstLine="420" w:firstLineChars="200"/>
              <w:jc w:val="left"/>
              <w:rPr>
                <w:szCs w:val="21"/>
              </w:rPr>
            </w:pPr>
            <w:r>
              <w:rPr>
                <w:szCs w:val="21"/>
              </w:rPr>
              <w:t>r—有害气体无组织排放源所在生产单元的等效半径（m），根据生产单元面积S（m</w:t>
            </w:r>
            <w:r>
              <w:rPr>
                <w:szCs w:val="21"/>
                <w:vertAlign w:val="superscript"/>
              </w:rPr>
              <w:t>2</w:t>
            </w:r>
            <w:r>
              <w:rPr>
                <w:szCs w:val="21"/>
              </w:rPr>
              <w:t>）计算，</w:t>
            </w:r>
            <w:r>
              <w:rPr>
                <w:position w:val="-8"/>
                <w:szCs w:val="21"/>
              </w:rPr>
              <w:object>
                <v:shape id="_x0000_i1027" o:spt="75" type="#_x0000_t75" style="height:18pt;width:51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8" r:id="rId15">
                  <o:LockedField>false</o:LockedField>
                </o:OLEObject>
              </w:object>
            </w:r>
            <w:r>
              <w:rPr>
                <w:szCs w:val="21"/>
              </w:rPr>
              <w:t>。</w:t>
            </w:r>
          </w:p>
          <w:p>
            <w:pPr>
              <w:pStyle w:val="54"/>
              <w:spacing w:line="480" w:lineRule="exact"/>
              <w:rPr>
                <w:szCs w:val="21"/>
              </w:rPr>
            </w:pPr>
            <w:r>
              <w:rPr>
                <w:bCs/>
                <w:sz w:val="18"/>
                <w:szCs w:val="18"/>
              </w:rPr>
              <w:t>表4-16  计算系数A、B、C、D系数的选取表</w:t>
            </w:r>
          </w:p>
          <w:tbl>
            <w:tblPr>
              <w:tblStyle w:val="21"/>
              <w:tblW w:w="8042" w:type="dxa"/>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
            <w:tblGrid>
              <w:gridCol w:w="1352"/>
              <w:gridCol w:w="1272"/>
              <w:gridCol w:w="602"/>
              <w:gridCol w:w="602"/>
              <w:gridCol w:w="600"/>
              <w:gridCol w:w="602"/>
              <w:gridCol w:w="602"/>
              <w:gridCol w:w="602"/>
              <w:gridCol w:w="600"/>
              <w:gridCol w:w="600"/>
              <w:gridCol w:w="608"/>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340" w:hRule="atLeast"/>
              </w:trPr>
              <w:tc>
                <w:tcPr>
                  <w:tcW w:w="1352" w:type="dxa"/>
                  <w:vMerge w:val="restart"/>
                  <w:noWrap w:val="0"/>
                  <w:vAlign w:val="center"/>
                </w:tcPr>
                <w:p>
                  <w:pPr>
                    <w:pStyle w:val="32"/>
                    <w:jc w:val="center"/>
                    <w:rPr>
                      <w:sz w:val="18"/>
                      <w:szCs w:val="18"/>
                    </w:rPr>
                  </w:pPr>
                  <w:r>
                    <w:rPr>
                      <w:b/>
                      <w:bCs/>
                      <w:sz w:val="18"/>
                      <w:szCs w:val="18"/>
                    </w:rPr>
                    <w:t>计算系数</w:t>
                  </w:r>
                </w:p>
              </w:tc>
              <w:tc>
                <w:tcPr>
                  <w:tcW w:w="1272" w:type="dxa"/>
                  <w:vMerge w:val="restart"/>
                  <w:noWrap w:val="0"/>
                  <w:vAlign w:val="center"/>
                </w:tcPr>
                <w:p>
                  <w:pPr>
                    <w:pStyle w:val="32"/>
                    <w:jc w:val="center"/>
                    <w:rPr>
                      <w:sz w:val="18"/>
                      <w:szCs w:val="18"/>
                    </w:rPr>
                  </w:pPr>
                  <w:r>
                    <w:rPr>
                      <w:b/>
                      <w:bCs/>
                      <w:sz w:val="18"/>
                      <w:szCs w:val="18"/>
                    </w:rPr>
                    <w:t>5年平均风速，m/s</w:t>
                  </w:r>
                </w:p>
              </w:tc>
              <w:tc>
                <w:tcPr>
                  <w:tcW w:w="5418" w:type="dxa"/>
                  <w:gridSpan w:val="9"/>
                  <w:noWrap w:val="0"/>
                  <w:vAlign w:val="center"/>
                </w:tcPr>
                <w:p>
                  <w:pPr>
                    <w:pStyle w:val="32"/>
                    <w:jc w:val="center"/>
                    <w:rPr>
                      <w:sz w:val="18"/>
                      <w:szCs w:val="18"/>
                    </w:rPr>
                  </w:pPr>
                  <w:r>
                    <w:rPr>
                      <w:b/>
                      <w:bCs/>
                      <w:sz w:val="18"/>
                      <w:szCs w:val="18"/>
                    </w:rPr>
                    <w:t>卫生防护距离L（m）</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340" w:hRule="atLeast"/>
              </w:trPr>
              <w:tc>
                <w:tcPr>
                  <w:tcW w:w="1352" w:type="dxa"/>
                  <w:vMerge w:val="continue"/>
                  <w:noWrap w:val="0"/>
                  <w:vAlign w:val="center"/>
                </w:tcPr>
                <w:p>
                  <w:pPr>
                    <w:jc w:val="center"/>
                    <w:rPr>
                      <w:sz w:val="18"/>
                      <w:szCs w:val="18"/>
                    </w:rPr>
                  </w:pPr>
                </w:p>
              </w:tc>
              <w:tc>
                <w:tcPr>
                  <w:tcW w:w="1272" w:type="dxa"/>
                  <w:vMerge w:val="continue"/>
                  <w:noWrap w:val="0"/>
                  <w:vAlign w:val="center"/>
                </w:tcPr>
                <w:p>
                  <w:pPr>
                    <w:jc w:val="center"/>
                    <w:rPr>
                      <w:sz w:val="18"/>
                      <w:szCs w:val="18"/>
                    </w:rPr>
                  </w:pPr>
                </w:p>
              </w:tc>
              <w:tc>
                <w:tcPr>
                  <w:tcW w:w="1804" w:type="dxa"/>
                  <w:gridSpan w:val="3"/>
                  <w:noWrap w:val="0"/>
                  <w:vAlign w:val="center"/>
                </w:tcPr>
                <w:p>
                  <w:pPr>
                    <w:pStyle w:val="32"/>
                    <w:jc w:val="center"/>
                    <w:rPr>
                      <w:sz w:val="18"/>
                      <w:szCs w:val="18"/>
                    </w:rPr>
                  </w:pPr>
                  <w:r>
                    <w:rPr>
                      <w:sz w:val="18"/>
                      <w:szCs w:val="18"/>
                    </w:rPr>
                    <w:t>L≤1000</w:t>
                  </w:r>
                </w:p>
              </w:tc>
              <w:tc>
                <w:tcPr>
                  <w:tcW w:w="1806" w:type="dxa"/>
                  <w:gridSpan w:val="3"/>
                  <w:noWrap w:val="0"/>
                  <w:vAlign w:val="center"/>
                </w:tcPr>
                <w:p>
                  <w:pPr>
                    <w:pStyle w:val="32"/>
                    <w:jc w:val="center"/>
                    <w:rPr>
                      <w:sz w:val="18"/>
                      <w:szCs w:val="18"/>
                    </w:rPr>
                  </w:pPr>
                  <w:r>
                    <w:rPr>
                      <w:sz w:val="18"/>
                      <w:szCs w:val="18"/>
                    </w:rPr>
                    <w:t>1000＜L≤2000</w:t>
                  </w:r>
                </w:p>
              </w:tc>
              <w:tc>
                <w:tcPr>
                  <w:tcW w:w="1808" w:type="dxa"/>
                  <w:gridSpan w:val="3"/>
                  <w:noWrap w:val="0"/>
                  <w:vAlign w:val="center"/>
                </w:tcPr>
                <w:p>
                  <w:pPr>
                    <w:pStyle w:val="32"/>
                    <w:jc w:val="center"/>
                    <w:rPr>
                      <w:sz w:val="18"/>
                      <w:szCs w:val="18"/>
                    </w:rPr>
                  </w:pPr>
                  <w:r>
                    <w:rPr>
                      <w:sz w:val="18"/>
                      <w:szCs w:val="18"/>
                    </w:rPr>
                    <w:t>L＞2000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340" w:hRule="atLeast"/>
              </w:trPr>
              <w:tc>
                <w:tcPr>
                  <w:tcW w:w="1352" w:type="dxa"/>
                  <w:vMerge w:val="continue"/>
                  <w:noWrap w:val="0"/>
                  <w:vAlign w:val="center"/>
                </w:tcPr>
                <w:p>
                  <w:pPr>
                    <w:jc w:val="center"/>
                    <w:rPr>
                      <w:sz w:val="18"/>
                      <w:szCs w:val="18"/>
                    </w:rPr>
                  </w:pPr>
                </w:p>
              </w:tc>
              <w:tc>
                <w:tcPr>
                  <w:tcW w:w="1272" w:type="dxa"/>
                  <w:vMerge w:val="continue"/>
                  <w:noWrap w:val="0"/>
                  <w:vAlign w:val="center"/>
                </w:tcPr>
                <w:p>
                  <w:pPr>
                    <w:jc w:val="center"/>
                    <w:rPr>
                      <w:sz w:val="18"/>
                      <w:szCs w:val="18"/>
                    </w:rPr>
                  </w:pPr>
                </w:p>
              </w:tc>
              <w:tc>
                <w:tcPr>
                  <w:tcW w:w="5418" w:type="dxa"/>
                  <w:gridSpan w:val="9"/>
                  <w:noWrap w:val="0"/>
                  <w:vAlign w:val="center"/>
                </w:tcPr>
                <w:p>
                  <w:pPr>
                    <w:pStyle w:val="32"/>
                    <w:jc w:val="center"/>
                    <w:rPr>
                      <w:sz w:val="18"/>
                      <w:szCs w:val="18"/>
                    </w:rPr>
                  </w:pPr>
                  <w:r>
                    <w:rPr>
                      <w:b/>
                      <w:bCs/>
                      <w:sz w:val="18"/>
                      <w:szCs w:val="18"/>
                    </w:rPr>
                    <w:t>工业大气污染源构成类别</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340" w:hRule="atLeast"/>
              </w:trPr>
              <w:tc>
                <w:tcPr>
                  <w:tcW w:w="1352" w:type="dxa"/>
                  <w:vMerge w:val="continue"/>
                  <w:noWrap w:val="0"/>
                  <w:vAlign w:val="center"/>
                </w:tcPr>
                <w:p>
                  <w:pPr>
                    <w:jc w:val="center"/>
                    <w:rPr>
                      <w:sz w:val="18"/>
                      <w:szCs w:val="18"/>
                    </w:rPr>
                  </w:pPr>
                </w:p>
              </w:tc>
              <w:tc>
                <w:tcPr>
                  <w:tcW w:w="1272" w:type="dxa"/>
                  <w:vMerge w:val="continue"/>
                  <w:noWrap w:val="0"/>
                  <w:vAlign w:val="center"/>
                </w:tcPr>
                <w:p>
                  <w:pPr>
                    <w:jc w:val="center"/>
                    <w:rPr>
                      <w:sz w:val="18"/>
                      <w:szCs w:val="18"/>
                    </w:rPr>
                  </w:pPr>
                </w:p>
              </w:tc>
              <w:tc>
                <w:tcPr>
                  <w:tcW w:w="602" w:type="dxa"/>
                  <w:noWrap w:val="0"/>
                  <w:vAlign w:val="center"/>
                </w:tcPr>
                <w:p>
                  <w:pPr>
                    <w:pStyle w:val="32"/>
                    <w:jc w:val="center"/>
                    <w:rPr>
                      <w:sz w:val="18"/>
                      <w:szCs w:val="18"/>
                    </w:rPr>
                  </w:pPr>
                  <w:r>
                    <w:rPr>
                      <w:sz w:val="18"/>
                      <w:szCs w:val="18"/>
                    </w:rPr>
                    <w:t>Ⅰ</w:t>
                  </w:r>
                </w:p>
              </w:tc>
              <w:tc>
                <w:tcPr>
                  <w:tcW w:w="602" w:type="dxa"/>
                  <w:noWrap w:val="0"/>
                  <w:vAlign w:val="center"/>
                </w:tcPr>
                <w:p>
                  <w:pPr>
                    <w:pStyle w:val="32"/>
                    <w:jc w:val="center"/>
                    <w:rPr>
                      <w:sz w:val="18"/>
                      <w:szCs w:val="18"/>
                    </w:rPr>
                  </w:pPr>
                  <w:r>
                    <w:rPr>
                      <w:sz w:val="18"/>
                      <w:szCs w:val="18"/>
                    </w:rPr>
                    <w:t>Ⅱ</w:t>
                  </w:r>
                </w:p>
              </w:tc>
              <w:tc>
                <w:tcPr>
                  <w:tcW w:w="600" w:type="dxa"/>
                  <w:noWrap w:val="0"/>
                  <w:vAlign w:val="center"/>
                </w:tcPr>
                <w:p>
                  <w:pPr>
                    <w:pStyle w:val="32"/>
                    <w:jc w:val="center"/>
                    <w:rPr>
                      <w:sz w:val="18"/>
                      <w:szCs w:val="18"/>
                    </w:rPr>
                  </w:pPr>
                  <w:r>
                    <w:rPr>
                      <w:sz w:val="18"/>
                      <w:szCs w:val="18"/>
                    </w:rPr>
                    <w:t>Ⅲ</w:t>
                  </w:r>
                </w:p>
              </w:tc>
              <w:tc>
                <w:tcPr>
                  <w:tcW w:w="602" w:type="dxa"/>
                  <w:noWrap w:val="0"/>
                  <w:vAlign w:val="center"/>
                </w:tcPr>
                <w:p>
                  <w:pPr>
                    <w:pStyle w:val="32"/>
                    <w:jc w:val="center"/>
                    <w:rPr>
                      <w:sz w:val="18"/>
                      <w:szCs w:val="18"/>
                    </w:rPr>
                  </w:pPr>
                  <w:r>
                    <w:rPr>
                      <w:sz w:val="18"/>
                      <w:szCs w:val="18"/>
                    </w:rPr>
                    <w:t>Ⅰ</w:t>
                  </w:r>
                </w:p>
              </w:tc>
              <w:tc>
                <w:tcPr>
                  <w:tcW w:w="602" w:type="dxa"/>
                  <w:noWrap w:val="0"/>
                  <w:vAlign w:val="center"/>
                </w:tcPr>
                <w:p>
                  <w:pPr>
                    <w:pStyle w:val="32"/>
                    <w:jc w:val="center"/>
                    <w:rPr>
                      <w:sz w:val="18"/>
                      <w:szCs w:val="18"/>
                    </w:rPr>
                  </w:pPr>
                  <w:r>
                    <w:rPr>
                      <w:sz w:val="18"/>
                      <w:szCs w:val="18"/>
                    </w:rPr>
                    <w:t>Ⅱ</w:t>
                  </w:r>
                </w:p>
              </w:tc>
              <w:tc>
                <w:tcPr>
                  <w:tcW w:w="602" w:type="dxa"/>
                  <w:noWrap w:val="0"/>
                  <w:vAlign w:val="center"/>
                </w:tcPr>
                <w:p>
                  <w:pPr>
                    <w:pStyle w:val="32"/>
                    <w:jc w:val="center"/>
                    <w:rPr>
                      <w:sz w:val="18"/>
                      <w:szCs w:val="18"/>
                    </w:rPr>
                  </w:pPr>
                  <w:r>
                    <w:rPr>
                      <w:sz w:val="18"/>
                      <w:szCs w:val="18"/>
                    </w:rPr>
                    <w:t>Ⅲ</w:t>
                  </w:r>
                </w:p>
              </w:tc>
              <w:tc>
                <w:tcPr>
                  <w:tcW w:w="600" w:type="dxa"/>
                  <w:noWrap w:val="0"/>
                  <w:vAlign w:val="center"/>
                </w:tcPr>
                <w:p>
                  <w:pPr>
                    <w:pStyle w:val="32"/>
                    <w:jc w:val="center"/>
                    <w:rPr>
                      <w:sz w:val="18"/>
                      <w:szCs w:val="18"/>
                    </w:rPr>
                  </w:pPr>
                  <w:r>
                    <w:rPr>
                      <w:sz w:val="18"/>
                      <w:szCs w:val="18"/>
                    </w:rPr>
                    <w:t>Ⅰ</w:t>
                  </w:r>
                </w:p>
              </w:tc>
              <w:tc>
                <w:tcPr>
                  <w:tcW w:w="600" w:type="dxa"/>
                  <w:noWrap w:val="0"/>
                  <w:vAlign w:val="center"/>
                </w:tcPr>
                <w:p>
                  <w:pPr>
                    <w:pStyle w:val="32"/>
                    <w:jc w:val="center"/>
                    <w:rPr>
                      <w:sz w:val="18"/>
                      <w:szCs w:val="18"/>
                    </w:rPr>
                  </w:pPr>
                  <w:r>
                    <w:rPr>
                      <w:sz w:val="18"/>
                      <w:szCs w:val="18"/>
                    </w:rPr>
                    <w:t>Ⅱ</w:t>
                  </w:r>
                </w:p>
              </w:tc>
              <w:tc>
                <w:tcPr>
                  <w:tcW w:w="608" w:type="dxa"/>
                  <w:noWrap w:val="0"/>
                  <w:vAlign w:val="center"/>
                </w:tcPr>
                <w:p>
                  <w:pPr>
                    <w:pStyle w:val="32"/>
                    <w:jc w:val="center"/>
                    <w:rPr>
                      <w:sz w:val="18"/>
                      <w:szCs w:val="18"/>
                    </w:rPr>
                  </w:pPr>
                  <w:r>
                    <w:rPr>
                      <w:sz w:val="18"/>
                      <w:szCs w:val="18"/>
                    </w:rPr>
                    <w:t>Ⅲ</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340" w:hRule="atLeast"/>
              </w:trPr>
              <w:tc>
                <w:tcPr>
                  <w:tcW w:w="1352" w:type="dxa"/>
                  <w:vMerge w:val="restart"/>
                  <w:noWrap w:val="0"/>
                  <w:vAlign w:val="center"/>
                </w:tcPr>
                <w:p>
                  <w:pPr>
                    <w:pStyle w:val="32"/>
                    <w:jc w:val="center"/>
                    <w:rPr>
                      <w:sz w:val="18"/>
                      <w:szCs w:val="18"/>
                    </w:rPr>
                  </w:pPr>
                  <w:r>
                    <w:rPr>
                      <w:sz w:val="18"/>
                      <w:szCs w:val="18"/>
                    </w:rPr>
                    <w:t>A</w:t>
                  </w:r>
                </w:p>
              </w:tc>
              <w:tc>
                <w:tcPr>
                  <w:tcW w:w="1272" w:type="dxa"/>
                  <w:noWrap w:val="0"/>
                  <w:vAlign w:val="center"/>
                </w:tcPr>
                <w:p>
                  <w:pPr>
                    <w:pStyle w:val="32"/>
                    <w:jc w:val="center"/>
                    <w:rPr>
                      <w:sz w:val="18"/>
                      <w:szCs w:val="18"/>
                    </w:rPr>
                  </w:pPr>
                  <w:r>
                    <w:rPr>
                      <w:sz w:val="18"/>
                      <w:szCs w:val="18"/>
                    </w:rPr>
                    <w:t>&lt;2</w:t>
                  </w:r>
                </w:p>
              </w:tc>
              <w:tc>
                <w:tcPr>
                  <w:tcW w:w="602" w:type="dxa"/>
                  <w:noWrap w:val="0"/>
                  <w:vAlign w:val="center"/>
                </w:tcPr>
                <w:p>
                  <w:pPr>
                    <w:pStyle w:val="32"/>
                    <w:jc w:val="center"/>
                    <w:rPr>
                      <w:sz w:val="18"/>
                      <w:szCs w:val="18"/>
                    </w:rPr>
                  </w:pPr>
                  <w:r>
                    <w:rPr>
                      <w:sz w:val="18"/>
                      <w:szCs w:val="18"/>
                    </w:rPr>
                    <w:t>400</w:t>
                  </w:r>
                </w:p>
              </w:tc>
              <w:tc>
                <w:tcPr>
                  <w:tcW w:w="602" w:type="dxa"/>
                  <w:noWrap w:val="0"/>
                  <w:vAlign w:val="center"/>
                </w:tcPr>
                <w:p>
                  <w:pPr>
                    <w:pStyle w:val="32"/>
                    <w:jc w:val="center"/>
                    <w:rPr>
                      <w:sz w:val="18"/>
                      <w:szCs w:val="18"/>
                    </w:rPr>
                  </w:pPr>
                  <w:r>
                    <w:rPr>
                      <w:sz w:val="18"/>
                      <w:szCs w:val="18"/>
                    </w:rPr>
                    <w:t>400</w:t>
                  </w:r>
                </w:p>
              </w:tc>
              <w:tc>
                <w:tcPr>
                  <w:tcW w:w="600" w:type="dxa"/>
                  <w:noWrap w:val="0"/>
                  <w:vAlign w:val="center"/>
                </w:tcPr>
                <w:p>
                  <w:pPr>
                    <w:pStyle w:val="32"/>
                    <w:jc w:val="center"/>
                    <w:rPr>
                      <w:sz w:val="18"/>
                      <w:szCs w:val="18"/>
                    </w:rPr>
                  </w:pPr>
                  <w:r>
                    <w:rPr>
                      <w:sz w:val="18"/>
                      <w:szCs w:val="18"/>
                    </w:rPr>
                    <w:t>400</w:t>
                  </w:r>
                </w:p>
              </w:tc>
              <w:tc>
                <w:tcPr>
                  <w:tcW w:w="602" w:type="dxa"/>
                  <w:noWrap w:val="0"/>
                  <w:vAlign w:val="center"/>
                </w:tcPr>
                <w:p>
                  <w:pPr>
                    <w:pStyle w:val="32"/>
                    <w:jc w:val="center"/>
                    <w:rPr>
                      <w:sz w:val="18"/>
                      <w:szCs w:val="18"/>
                    </w:rPr>
                  </w:pPr>
                  <w:r>
                    <w:rPr>
                      <w:sz w:val="18"/>
                      <w:szCs w:val="18"/>
                    </w:rPr>
                    <w:t>400</w:t>
                  </w:r>
                </w:p>
              </w:tc>
              <w:tc>
                <w:tcPr>
                  <w:tcW w:w="602" w:type="dxa"/>
                  <w:noWrap w:val="0"/>
                  <w:vAlign w:val="center"/>
                </w:tcPr>
                <w:p>
                  <w:pPr>
                    <w:pStyle w:val="32"/>
                    <w:jc w:val="center"/>
                    <w:rPr>
                      <w:sz w:val="18"/>
                      <w:szCs w:val="18"/>
                    </w:rPr>
                  </w:pPr>
                  <w:r>
                    <w:rPr>
                      <w:sz w:val="18"/>
                      <w:szCs w:val="18"/>
                    </w:rPr>
                    <w:t>400</w:t>
                  </w:r>
                </w:p>
              </w:tc>
              <w:tc>
                <w:tcPr>
                  <w:tcW w:w="602" w:type="dxa"/>
                  <w:noWrap w:val="0"/>
                  <w:vAlign w:val="center"/>
                </w:tcPr>
                <w:p>
                  <w:pPr>
                    <w:pStyle w:val="32"/>
                    <w:jc w:val="center"/>
                    <w:rPr>
                      <w:sz w:val="18"/>
                      <w:szCs w:val="18"/>
                    </w:rPr>
                  </w:pPr>
                  <w:r>
                    <w:rPr>
                      <w:sz w:val="18"/>
                      <w:szCs w:val="18"/>
                    </w:rPr>
                    <w:t>400</w:t>
                  </w:r>
                </w:p>
              </w:tc>
              <w:tc>
                <w:tcPr>
                  <w:tcW w:w="600" w:type="dxa"/>
                  <w:noWrap w:val="0"/>
                  <w:vAlign w:val="center"/>
                </w:tcPr>
                <w:p>
                  <w:pPr>
                    <w:pStyle w:val="32"/>
                    <w:jc w:val="center"/>
                    <w:rPr>
                      <w:sz w:val="18"/>
                      <w:szCs w:val="18"/>
                    </w:rPr>
                  </w:pPr>
                  <w:r>
                    <w:rPr>
                      <w:sz w:val="18"/>
                      <w:szCs w:val="18"/>
                    </w:rPr>
                    <w:t>80</w:t>
                  </w:r>
                </w:p>
              </w:tc>
              <w:tc>
                <w:tcPr>
                  <w:tcW w:w="600" w:type="dxa"/>
                  <w:noWrap w:val="0"/>
                  <w:vAlign w:val="center"/>
                </w:tcPr>
                <w:p>
                  <w:pPr>
                    <w:pStyle w:val="32"/>
                    <w:jc w:val="center"/>
                    <w:rPr>
                      <w:sz w:val="18"/>
                      <w:szCs w:val="18"/>
                    </w:rPr>
                  </w:pPr>
                  <w:r>
                    <w:rPr>
                      <w:sz w:val="18"/>
                      <w:szCs w:val="18"/>
                    </w:rPr>
                    <w:t>80</w:t>
                  </w:r>
                </w:p>
              </w:tc>
              <w:tc>
                <w:tcPr>
                  <w:tcW w:w="608" w:type="dxa"/>
                  <w:noWrap w:val="0"/>
                  <w:vAlign w:val="center"/>
                </w:tcPr>
                <w:p>
                  <w:pPr>
                    <w:pStyle w:val="32"/>
                    <w:jc w:val="center"/>
                    <w:rPr>
                      <w:sz w:val="18"/>
                      <w:szCs w:val="18"/>
                    </w:rPr>
                  </w:pPr>
                  <w:r>
                    <w:rPr>
                      <w:sz w:val="18"/>
                      <w:szCs w:val="18"/>
                    </w:rPr>
                    <w:t>80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340" w:hRule="atLeast"/>
              </w:trPr>
              <w:tc>
                <w:tcPr>
                  <w:tcW w:w="1352" w:type="dxa"/>
                  <w:vMerge w:val="continue"/>
                  <w:shd w:val="clear" w:color="auto" w:fill="auto"/>
                  <w:noWrap w:val="0"/>
                  <w:vAlign w:val="center"/>
                </w:tcPr>
                <w:p>
                  <w:pPr>
                    <w:jc w:val="center"/>
                    <w:rPr>
                      <w:sz w:val="18"/>
                      <w:szCs w:val="18"/>
                    </w:rPr>
                  </w:pPr>
                </w:p>
              </w:tc>
              <w:tc>
                <w:tcPr>
                  <w:tcW w:w="1272" w:type="dxa"/>
                  <w:shd w:val="clear" w:color="auto" w:fill="auto"/>
                  <w:noWrap w:val="0"/>
                  <w:vAlign w:val="center"/>
                </w:tcPr>
                <w:p>
                  <w:pPr>
                    <w:pStyle w:val="32"/>
                    <w:jc w:val="center"/>
                    <w:rPr>
                      <w:sz w:val="18"/>
                      <w:szCs w:val="18"/>
                    </w:rPr>
                  </w:pPr>
                  <w:r>
                    <w:rPr>
                      <w:sz w:val="18"/>
                      <w:szCs w:val="18"/>
                    </w:rPr>
                    <w:t>2-4</w:t>
                  </w:r>
                </w:p>
              </w:tc>
              <w:tc>
                <w:tcPr>
                  <w:tcW w:w="602" w:type="dxa"/>
                  <w:shd w:val="clear" w:color="auto" w:fill="auto"/>
                  <w:noWrap w:val="0"/>
                  <w:vAlign w:val="center"/>
                </w:tcPr>
                <w:p>
                  <w:pPr>
                    <w:pStyle w:val="32"/>
                    <w:jc w:val="center"/>
                    <w:rPr>
                      <w:sz w:val="18"/>
                      <w:szCs w:val="18"/>
                    </w:rPr>
                  </w:pPr>
                  <w:r>
                    <w:rPr>
                      <w:sz w:val="18"/>
                      <w:szCs w:val="18"/>
                    </w:rPr>
                    <w:t>700</w:t>
                  </w:r>
                </w:p>
              </w:tc>
              <w:tc>
                <w:tcPr>
                  <w:tcW w:w="602" w:type="dxa"/>
                  <w:shd w:val="clear" w:color="auto" w:fill="DCD8C2"/>
                  <w:noWrap w:val="0"/>
                  <w:vAlign w:val="center"/>
                </w:tcPr>
                <w:p>
                  <w:pPr>
                    <w:pStyle w:val="32"/>
                    <w:jc w:val="center"/>
                    <w:rPr>
                      <w:sz w:val="18"/>
                      <w:szCs w:val="18"/>
                    </w:rPr>
                  </w:pPr>
                  <w:r>
                    <w:rPr>
                      <w:sz w:val="18"/>
                      <w:szCs w:val="18"/>
                      <w:shd w:val="clear" w:color="FFFFFF" w:fill="auto"/>
                    </w:rPr>
                    <w:t>470</w:t>
                  </w:r>
                </w:p>
              </w:tc>
              <w:tc>
                <w:tcPr>
                  <w:tcW w:w="600" w:type="dxa"/>
                  <w:noWrap w:val="0"/>
                  <w:vAlign w:val="center"/>
                </w:tcPr>
                <w:p>
                  <w:pPr>
                    <w:pStyle w:val="32"/>
                    <w:jc w:val="center"/>
                    <w:rPr>
                      <w:sz w:val="18"/>
                      <w:szCs w:val="18"/>
                    </w:rPr>
                  </w:pPr>
                  <w:r>
                    <w:rPr>
                      <w:sz w:val="18"/>
                      <w:szCs w:val="18"/>
                    </w:rPr>
                    <w:t>350</w:t>
                  </w:r>
                </w:p>
              </w:tc>
              <w:tc>
                <w:tcPr>
                  <w:tcW w:w="602" w:type="dxa"/>
                  <w:noWrap w:val="0"/>
                  <w:vAlign w:val="center"/>
                </w:tcPr>
                <w:p>
                  <w:pPr>
                    <w:pStyle w:val="32"/>
                    <w:jc w:val="center"/>
                    <w:rPr>
                      <w:sz w:val="18"/>
                      <w:szCs w:val="18"/>
                    </w:rPr>
                  </w:pPr>
                  <w:r>
                    <w:rPr>
                      <w:sz w:val="18"/>
                      <w:szCs w:val="18"/>
                    </w:rPr>
                    <w:t>700</w:t>
                  </w:r>
                </w:p>
              </w:tc>
              <w:tc>
                <w:tcPr>
                  <w:tcW w:w="602" w:type="dxa"/>
                  <w:noWrap w:val="0"/>
                  <w:vAlign w:val="center"/>
                </w:tcPr>
                <w:p>
                  <w:pPr>
                    <w:pStyle w:val="32"/>
                    <w:jc w:val="center"/>
                    <w:rPr>
                      <w:sz w:val="18"/>
                      <w:szCs w:val="18"/>
                    </w:rPr>
                  </w:pPr>
                  <w:r>
                    <w:rPr>
                      <w:sz w:val="18"/>
                      <w:szCs w:val="18"/>
                    </w:rPr>
                    <w:t>470</w:t>
                  </w:r>
                </w:p>
              </w:tc>
              <w:tc>
                <w:tcPr>
                  <w:tcW w:w="602" w:type="dxa"/>
                  <w:noWrap w:val="0"/>
                  <w:vAlign w:val="center"/>
                </w:tcPr>
                <w:p>
                  <w:pPr>
                    <w:pStyle w:val="32"/>
                    <w:jc w:val="center"/>
                    <w:rPr>
                      <w:sz w:val="18"/>
                      <w:szCs w:val="18"/>
                    </w:rPr>
                  </w:pPr>
                  <w:r>
                    <w:rPr>
                      <w:sz w:val="18"/>
                      <w:szCs w:val="18"/>
                    </w:rPr>
                    <w:t>350</w:t>
                  </w:r>
                </w:p>
              </w:tc>
              <w:tc>
                <w:tcPr>
                  <w:tcW w:w="600" w:type="dxa"/>
                  <w:noWrap w:val="0"/>
                  <w:vAlign w:val="center"/>
                </w:tcPr>
                <w:p>
                  <w:pPr>
                    <w:pStyle w:val="32"/>
                    <w:jc w:val="center"/>
                    <w:rPr>
                      <w:sz w:val="18"/>
                      <w:szCs w:val="18"/>
                    </w:rPr>
                  </w:pPr>
                  <w:r>
                    <w:rPr>
                      <w:sz w:val="18"/>
                      <w:szCs w:val="18"/>
                    </w:rPr>
                    <w:t>380</w:t>
                  </w:r>
                </w:p>
              </w:tc>
              <w:tc>
                <w:tcPr>
                  <w:tcW w:w="600" w:type="dxa"/>
                  <w:noWrap w:val="0"/>
                  <w:vAlign w:val="center"/>
                </w:tcPr>
                <w:p>
                  <w:pPr>
                    <w:pStyle w:val="32"/>
                    <w:jc w:val="center"/>
                    <w:rPr>
                      <w:sz w:val="18"/>
                      <w:szCs w:val="18"/>
                    </w:rPr>
                  </w:pPr>
                  <w:r>
                    <w:rPr>
                      <w:sz w:val="18"/>
                      <w:szCs w:val="18"/>
                    </w:rPr>
                    <w:t>250</w:t>
                  </w:r>
                </w:p>
              </w:tc>
              <w:tc>
                <w:tcPr>
                  <w:tcW w:w="608" w:type="dxa"/>
                  <w:noWrap w:val="0"/>
                  <w:vAlign w:val="center"/>
                </w:tcPr>
                <w:p>
                  <w:pPr>
                    <w:pStyle w:val="32"/>
                    <w:jc w:val="center"/>
                    <w:rPr>
                      <w:sz w:val="18"/>
                      <w:szCs w:val="18"/>
                    </w:rPr>
                  </w:pPr>
                  <w:r>
                    <w:rPr>
                      <w:sz w:val="18"/>
                      <w:szCs w:val="18"/>
                    </w:rPr>
                    <w:t>190</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340" w:hRule="atLeast"/>
              </w:trPr>
              <w:tc>
                <w:tcPr>
                  <w:tcW w:w="1352" w:type="dxa"/>
                  <w:vMerge w:val="continue"/>
                  <w:noWrap w:val="0"/>
                  <w:vAlign w:val="center"/>
                </w:tcPr>
                <w:p>
                  <w:pPr>
                    <w:jc w:val="center"/>
                    <w:rPr>
                      <w:sz w:val="18"/>
                      <w:szCs w:val="18"/>
                    </w:rPr>
                  </w:pPr>
                </w:p>
              </w:tc>
              <w:tc>
                <w:tcPr>
                  <w:tcW w:w="1272" w:type="dxa"/>
                  <w:noWrap w:val="0"/>
                  <w:vAlign w:val="center"/>
                </w:tcPr>
                <w:p>
                  <w:pPr>
                    <w:pStyle w:val="32"/>
                    <w:jc w:val="center"/>
                    <w:rPr>
                      <w:sz w:val="18"/>
                      <w:szCs w:val="18"/>
                    </w:rPr>
                  </w:pPr>
                  <w:r>
                    <w:rPr>
                      <w:sz w:val="18"/>
                      <w:szCs w:val="18"/>
                    </w:rPr>
                    <w:t>&gt;4</w:t>
                  </w:r>
                </w:p>
              </w:tc>
              <w:tc>
                <w:tcPr>
                  <w:tcW w:w="602" w:type="dxa"/>
                  <w:noWrap w:val="0"/>
                  <w:vAlign w:val="center"/>
                </w:tcPr>
                <w:p>
                  <w:pPr>
                    <w:pStyle w:val="32"/>
                    <w:jc w:val="center"/>
                    <w:rPr>
                      <w:sz w:val="18"/>
                      <w:szCs w:val="18"/>
                    </w:rPr>
                  </w:pPr>
                  <w:r>
                    <w:rPr>
                      <w:sz w:val="18"/>
                      <w:szCs w:val="18"/>
                    </w:rPr>
                    <w:t>530</w:t>
                  </w:r>
                </w:p>
              </w:tc>
              <w:tc>
                <w:tcPr>
                  <w:tcW w:w="602" w:type="dxa"/>
                  <w:noWrap w:val="0"/>
                  <w:vAlign w:val="center"/>
                </w:tcPr>
                <w:p>
                  <w:pPr>
                    <w:pStyle w:val="32"/>
                    <w:jc w:val="center"/>
                    <w:rPr>
                      <w:sz w:val="18"/>
                      <w:szCs w:val="18"/>
                    </w:rPr>
                  </w:pPr>
                  <w:r>
                    <w:rPr>
                      <w:sz w:val="18"/>
                      <w:szCs w:val="18"/>
                    </w:rPr>
                    <w:t>350</w:t>
                  </w:r>
                </w:p>
              </w:tc>
              <w:tc>
                <w:tcPr>
                  <w:tcW w:w="600" w:type="dxa"/>
                  <w:noWrap w:val="0"/>
                  <w:vAlign w:val="center"/>
                </w:tcPr>
                <w:p>
                  <w:pPr>
                    <w:pStyle w:val="32"/>
                    <w:jc w:val="center"/>
                    <w:rPr>
                      <w:sz w:val="18"/>
                      <w:szCs w:val="18"/>
                    </w:rPr>
                  </w:pPr>
                  <w:r>
                    <w:rPr>
                      <w:sz w:val="18"/>
                      <w:szCs w:val="18"/>
                    </w:rPr>
                    <w:t>260</w:t>
                  </w:r>
                </w:p>
              </w:tc>
              <w:tc>
                <w:tcPr>
                  <w:tcW w:w="602" w:type="dxa"/>
                  <w:noWrap w:val="0"/>
                  <w:vAlign w:val="center"/>
                </w:tcPr>
                <w:p>
                  <w:pPr>
                    <w:pStyle w:val="32"/>
                    <w:jc w:val="center"/>
                    <w:rPr>
                      <w:sz w:val="18"/>
                      <w:szCs w:val="18"/>
                    </w:rPr>
                  </w:pPr>
                  <w:r>
                    <w:rPr>
                      <w:sz w:val="18"/>
                      <w:szCs w:val="18"/>
                    </w:rPr>
                    <w:t>530</w:t>
                  </w:r>
                </w:p>
              </w:tc>
              <w:tc>
                <w:tcPr>
                  <w:tcW w:w="602" w:type="dxa"/>
                  <w:noWrap w:val="0"/>
                  <w:vAlign w:val="center"/>
                </w:tcPr>
                <w:p>
                  <w:pPr>
                    <w:pStyle w:val="32"/>
                    <w:jc w:val="center"/>
                    <w:rPr>
                      <w:sz w:val="18"/>
                      <w:szCs w:val="18"/>
                    </w:rPr>
                  </w:pPr>
                  <w:r>
                    <w:rPr>
                      <w:sz w:val="18"/>
                      <w:szCs w:val="18"/>
                    </w:rPr>
                    <w:t>350</w:t>
                  </w:r>
                </w:p>
              </w:tc>
              <w:tc>
                <w:tcPr>
                  <w:tcW w:w="602" w:type="dxa"/>
                  <w:noWrap w:val="0"/>
                  <w:vAlign w:val="center"/>
                </w:tcPr>
                <w:p>
                  <w:pPr>
                    <w:pStyle w:val="32"/>
                    <w:jc w:val="center"/>
                    <w:rPr>
                      <w:sz w:val="18"/>
                      <w:szCs w:val="18"/>
                    </w:rPr>
                  </w:pPr>
                  <w:r>
                    <w:rPr>
                      <w:sz w:val="18"/>
                      <w:szCs w:val="18"/>
                    </w:rPr>
                    <w:t>260</w:t>
                  </w:r>
                </w:p>
              </w:tc>
              <w:tc>
                <w:tcPr>
                  <w:tcW w:w="600" w:type="dxa"/>
                  <w:noWrap w:val="0"/>
                  <w:vAlign w:val="center"/>
                </w:tcPr>
                <w:p>
                  <w:pPr>
                    <w:pStyle w:val="32"/>
                    <w:jc w:val="center"/>
                    <w:rPr>
                      <w:sz w:val="18"/>
                      <w:szCs w:val="18"/>
                    </w:rPr>
                  </w:pPr>
                  <w:r>
                    <w:rPr>
                      <w:sz w:val="18"/>
                      <w:szCs w:val="18"/>
                    </w:rPr>
                    <w:t>290</w:t>
                  </w:r>
                </w:p>
              </w:tc>
              <w:tc>
                <w:tcPr>
                  <w:tcW w:w="600" w:type="dxa"/>
                  <w:noWrap w:val="0"/>
                  <w:vAlign w:val="center"/>
                </w:tcPr>
                <w:p>
                  <w:pPr>
                    <w:pStyle w:val="32"/>
                    <w:jc w:val="center"/>
                    <w:rPr>
                      <w:sz w:val="18"/>
                      <w:szCs w:val="18"/>
                    </w:rPr>
                  </w:pPr>
                  <w:r>
                    <w:rPr>
                      <w:sz w:val="18"/>
                      <w:szCs w:val="18"/>
                    </w:rPr>
                    <w:t>190</w:t>
                  </w:r>
                </w:p>
              </w:tc>
              <w:tc>
                <w:tcPr>
                  <w:tcW w:w="608" w:type="dxa"/>
                  <w:noWrap w:val="0"/>
                  <w:vAlign w:val="center"/>
                </w:tcPr>
                <w:p>
                  <w:pPr>
                    <w:pStyle w:val="32"/>
                    <w:jc w:val="center"/>
                    <w:rPr>
                      <w:sz w:val="18"/>
                      <w:szCs w:val="18"/>
                    </w:rPr>
                  </w:pPr>
                  <w:r>
                    <w:rPr>
                      <w:sz w:val="18"/>
                      <w:szCs w:val="18"/>
                    </w:rPr>
                    <w:t>140</w:t>
                  </w:r>
                </w:p>
              </w:tc>
            </w:tr>
            <w:tr>
              <w:tblPrEx>
                <w:tblLayout w:type="fixed"/>
                <w:tblCellMar>
                  <w:top w:w="0" w:type="dxa"/>
                  <w:left w:w="0" w:type="dxa"/>
                  <w:bottom w:w="0" w:type="dxa"/>
                  <w:right w:w="0" w:type="dxa"/>
                </w:tblCellMar>
              </w:tblPrEx>
              <w:trPr>
                <w:trHeight w:val="340" w:hRule="atLeast"/>
              </w:trPr>
              <w:tc>
                <w:tcPr>
                  <w:tcW w:w="1352" w:type="dxa"/>
                  <w:vMerge w:val="restart"/>
                  <w:noWrap w:val="0"/>
                  <w:vAlign w:val="center"/>
                </w:tcPr>
                <w:p>
                  <w:pPr>
                    <w:pStyle w:val="32"/>
                    <w:jc w:val="center"/>
                    <w:rPr>
                      <w:sz w:val="18"/>
                      <w:szCs w:val="18"/>
                    </w:rPr>
                  </w:pPr>
                  <w:r>
                    <w:rPr>
                      <w:sz w:val="18"/>
                      <w:szCs w:val="18"/>
                    </w:rPr>
                    <w:t>B</w:t>
                  </w:r>
                </w:p>
              </w:tc>
              <w:tc>
                <w:tcPr>
                  <w:tcW w:w="1272" w:type="dxa"/>
                  <w:noWrap w:val="0"/>
                  <w:vAlign w:val="center"/>
                </w:tcPr>
                <w:p>
                  <w:pPr>
                    <w:pStyle w:val="32"/>
                    <w:jc w:val="center"/>
                    <w:rPr>
                      <w:sz w:val="18"/>
                      <w:szCs w:val="18"/>
                    </w:rPr>
                  </w:pPr>
                  <w:r>
                    <w:rPr>
                      <w:sz w:val="18"/>
                      <w:szCs w:val="18"/>
                    </w:rPr>
                    <w:t>&lt;2</w:t>
                  </w:r>
                </w:p>
              </w:tc>
              <w:tc>
                <w:tcPr>
                  <w:tcW w:w="1804" w:type="dxa"/>
                  <w:gridSpan w:val="3"/>
                  <w:noWrap w:val="0"/>
                  <w:vAlign w:val="center"/>
                </w:tcPr>
                <w:p>
                  <w:pPr>
                    <w:pStyle w:val="32"/>
                    <w:jc w:val="center"/>
                    <w:rPr>
                      <w:sz w:val="18"/>
                      <w:szCs w:val="18"/>
                    </w:rPr>
                  </w:pPr>
                  <w:r>
                    <w:rPr>
                      <w:sz w:val="18"/>
                      <w:szCs w:val="18"/>
                    </w:rPr>
                    <w:t>0.01</w:t>
                  </w:r>
                </w:p>
              </w:tc>
              <w:tc>
                <w:tcPr>
                  <w:tcW w:w="1806" w:type="dxa"/>
                  <w:gridSpan w:val="3"/>
                  <w:noWrap w:val="0"/>
                  <w:vAlign w:val="center"/>
                </w:tcPr>
                <w:p>
                  <w:pPr>
                    <w:pStyle w:val="32"/>
                    <w:jc w:val="center"/>
                    <w:rPr>
                      <w:sz w:val="18"/>
                      <w:szCs w:val="18"/>
                    </w:rPr>
                  </w:pPr>
                  <w:r>
                    <w:rPr>
                      <w:sz w:val="18"/>
                      <w:szCs w:val="18"/>
                    </w:rPr>
                    <w:t>0.015</w:t>
                  </w:r>
                </w:p>
              </w:tc>
              <w:tc>
                <w:tcPr>
                  <w:tcW w:w="1808" w:type="dxa"/>
                  <w:gridSpan w:val="3"/>
                  <w:noWrap w:val="0"/>
                  <w:vAlign w:val="center"/>
                </w:tcPr>
                <w:p>
                  <w:pPr>
                    <w:pStyle w:val="32"/>
                    <w:jc w:val="center"/>
                    <w:rPr>
                      <w:sz w:val="18"/>
                      <w:szCs w:val="18"/>
                    </w:rPr>
                  </w:pPr>
                  <w:r>
                    <w:rPr>
                      <w:sz w:val="18"/>
                      <w:szCs w:val="18"/>
                    </w:rPr>
                    <w:t>0.015</w:t>
                  </w:r>
                </w:p>
              </w:tc>
            </w:tr>
            <w:tr>
              <w:tblPrEx>
                <w:tblLayout w:type="fixed"/>
                <w:tblCellMar>
                  <w:top w:w="0" w:type="dxa"/>
                  <w:left w:w="0" w:type="dxa"/>
                  <w:bottom w:w="0" w:type="dxa"/>
                  <w:right w:w="0" w:type="dxa"/>
                </w:tblCellMar>
              </w:tblPrEx>
              <w:trPr>
                <w:trHeight w:val="340" w:hRule="atLeast"/>
              </w:trPr>
              <w:tc>
                <w:tcPr>
                  <w:tcW w:w="1352" w:type="dxa"/>
                  <w:vMerge w:val="continue"/>
                  <w:shd w:val="clear" w:color="auto" w:fill="auto"/>
                  <w:noWrap w:val="0"/>
                  <w:vAlign w:val="center"/>
                </w:tcPr>
                <w:p>
                  <w:pPr>
                    <w:jc w:val="center"/>
                    <w:rPr>
                      <w:sz w:val="18"/>
                      <w:szCs w:val="18"/>
                    </w:rPr>
                  </w:pPr>
                </w:p>
              </w:tc>
              <w:tc>
                <w:tcPr>
                  <w:tcW w:w="1272" w:type="dxa"/>
                  <w:shd w:val="clear" w:color="auto" w:fill="auto"/>
                  <w:noWrap w:val="0"/>
                  <w:vAlign w:val="center"/>
                </w:tcPr>
                <w:p>
                  <w:pPr>
                    <w:pStyle w:val="32"/>
                    <w:jc w:val="center"/>
                    <w:rPr>
                      <w:sz w:val="18"/>
                      <w:szCs w:val="18"/>
                    </w:rPr>
                  </w:pPr>
                  <w:r>
                    <w:rPr>
                      <w:sz w:val="18"/>
                      <w:szCs w:val="18"/>
                    </w:rPr>
                    <w:t>&gt;2</w:t>
                  </w:r>
                </w:p>
              </w:tc>
              <w:tc>
                <w:tcPr>
                  <w:tcW w:w="1804" w:type="dxa"/>
                  <w:gridSpan w:val="3"/>
                  <w:shd w:val="clear" w:color="auto" w:fill="DCD8C2"/>
                  <w:noWrap w:val="0"/>
                  <w:vAlign w:val="center"/>
                </w:tcPr>
                <w:p>
                  <w:pPr>
                    <w:pStyle w:val="32"/>
                    <w:jc w:val="center"/>
                    <w:rPr>
                      <w:sz w:val="18"/>
                      <w:szCs w:val="18"/>
                    </w:rPr>
                  </w:pPr>
                  <w:r>
                    <w:rPr>
                      <w:sz w:val="18"/>
                      <w:szCs w:val="18"/>
                    </w:rPr>
                    <w:t>0.021</w:t>
                  </w:r>
                </w:p>
              </w:tc>
              <w:tc>
                <w:tcPr>
                  <w:tcW w:w="1806" w:type="dxa"/>
                  <w:gridSpan w:val="3"/>
                  <w:noWrap w:val="0"/>
                  <w:vAlign w:val="center"/>
                </w:tcPr>
                <w:p>
                  <w:pPr>
                    <w:pStyle w:val="32"/>
                    <w:jc w:val="center"/>
                    <w:rPr>
                      <w:sz w:val="18"/>
                      <w:szCs w:val="18"/>
                    </w:rPr>
                  </w:pPr>
                  <w:r>
                    <w:rPr>
                      <w:sz w:val="18"/>
                      <w:szCs w:val="18"/>
                    </w:rPr>
                    <w:t>0.036</w:t>
                  </w:r>
                </w:p>
              </w:tc>
              <w:tc>
                <w:tcPr>
                  <w:tcW w:w="1808" w:type="dxa"/>
                  <w:gridSpan w:val="3"/>
                  <w:noWrap w:val="0"/>
                  <w:vAlign w:val="center"/>
                </w:tcPr>
                <w:p>
                  <w:pPr>
                    <w:pStyle w:val="32"/>
                    <w:jc w:val="center"/>
                    <w:rPr>
                      <w:sz w:val="18"/>
                      <w:szCs w:val="18"/>
                    </w:rPr>
                  </w:pPr>
                  <w:r>
                    <w:rPr>
                      <w:sz w:val="18"/>
                      <w:szCs w:val="18"/>
                    </w:rPr>
                    <w:t>0.036</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340" w:hRule="atLeast"/>
              </w:trPr>
              <w:tc>
                <w:tcPr>
                  <w:tcW w:w="1352" w:type="dxa"/>
                  <w:vMerge w:val="restart"/>
                  <w:noWrap w:val="0"/>
                  <w:vAlign w:val="center"/>
                </w:tcPr>
                <w:p>
                  <w:pPr>
                    <w:pStyle w:val="32"/>
                    <w:jc w:val="center"/>
                    <w:rPr>
                      <w:sz w:val="18"/>
                      <w:szCs w:val="18"/>
                    </w:rPr>
                  </w:pPr>
                  <w:r>
                    <w:rPr>
                      <w:sz w:val="18"/>
                      <w:szCs w:val="18"/>
                    </w:rPr>
                    <w:t>C</w:t>
                  </w:r>
                </w:p>
              </w:tc>
              <w:tc>
                <w:tcPr>
                  <w:tcW w:w="1272" w:type="dxa"/>
                  <w:noWrap w:val="0"/>
                  <w:vAlign w:val="center"/>
                </w:tcPr>
                <w:p>
                  <w:pPr>
                    <w:pStyle w:val="32"/>
                    <w:jc w:val="center"/>
                    <w:rPr>
                      <w:sz w:val="18"/>
                      <w:szCs w:val="18"/>
                    </w:rPr>
                  </w:pPr>
                  <w:r>
                    <w:rPr>
                      <w:sz w:val="18"/>
                      <w:szCs w:val="18"/>
                    </w:rPr>
                    <w:t>&lt;2</w:t>
                  </w:r>
                </w:p>
              </w:tc>
              <w:tc>
                <w:tcPr>
                  <w:tcW w:w="1804" w:type="dxa"/>
                  <w:gridSpan w:val="3"/>
                  <w:noWrap w:val="0"/>
                  <w:vAlign w:val="center"/>
                </w:tcPr>
                <w:p>
                  <w:pPr>
                    <w:pStyle w:val="32"/>
                    <w:jc w:val="center"/>
                    <w:rPr>
                      <w:sz w:val="18"/>
                      <w:szCs w:val="18"/>
                    </w:rPr>
                  </w:pPr>
                  <w:r>
                    <w:rPr>
                      <w:sz w:val="18"/>
                      <w:szCs w:val="18"/>
                    </w:rPr>
                    <w:t>1.85</w:t>
                  </w:r>
                </w:p>
              </w:tc>
              <w:tc>
                <w:tcPr>
                  <w:tcW w:w="1806" w:type="dxa"/>
                  <w:gridSpan w:val="3"/>
                  <w:noWrap w:val="0"/>
                  <w:vAlign w:val="center"/>
                </w:tcPr>
                <w:p>
                  <w:pPr>
                    <w:pStyle w:val="32"/>
                    <w:jc w:val="center"/>
                    <w:rPr>
                      <w:sz w:val="18"/>
                      <w:szCs w:val="18"/>
                    </w:rPr>
                  </w:pPr>
                  <w:r>
                    <w:rPr>
                      <w:sz w:val="18"/>
                      <w:szCs w:val="18"/>
                    </w:rPr>
                    <w:t>1.79</w:t>
                  </w:r>
                </w:p>
              </w:tc>
              <w:tc>
                <w:tcPr>
                  <w:tcW w:w="1808" w:type="dxa"/>
                  <w:gridSpan w:val="3"/>
                  <w:noWrap w:val="0"/>
                  <w:vAlign w:val="center"/>
                </w:tcPr>
                <w:p>
                  <w:pPr>
                    <w:pStyle w:val="32"/>
                    <w:jc w:val="center"/>
                    <w:rPr>
                      <w:sz w:val="18"/>
                      <w:szCs w:val="18"/>
                    </w:rPr>
                  </w:pPr>
                  <w:r>
                    <w:rPr>
                      <w:sz w:val="18"/>
                      <w:szCs w:val="18"/>
                    </w:rPr>
                    <w:t>1.79</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340" w:hRule="atLeast"/>
              </w:trPr>
              <w:tc>
                <w:tcPr>
                  <w:tcW w:w="1352" w:type="dxa"/>
                  <w:vMerge w:val="continue"/>
                  <w:shd w:val="clear" w:color="auto" w:fill="auto"/>
                  <w:noWrap w:val="0"/>
                  <w:vAlign w:val="center"/>
                </w:tcPr>
                <w:p>
                  <w:pPr>
                    <w:jc w:val="center"/>
                    <w:rPr>
                      <w:sz w:val="18"/>
                      <w:szCs w:val="18"/>
                    </w:rPr>
                  </w:pPr>
                </w:p>
              </w:tc>
              <w:tc>
                <w:tcPr>
                  <w:tcW w:w="1272" w:type="dxa"/>
                  <w:shd w:val="clear" w:color="auto" w:fill="auto"/>
                  <w:noWrap w:val="0"/>
                  <w:vAlign w:val="center"/>
                </w:tcPr>
                <w:p>
                  <w:pPr>
                    <w:pStyle w:val="32"/>
                    <w:jc w:val="center"/>
                    <w:rPr>
                      <w:sz w:val="18"/>
                      <w:szCs w:val="18"/>
                    </w:rPr>
                  </w:pPr>
                  <w:r>
                    <w:rPr>
                      <w:sz w:val="18"/>
                      <w:szCs w:val="18"/>
                    </w:rPr>
                    <w:t>&gt;2</w:t>
                  </w:r>
                </w:p>
              </w:tc>
              <w:tc>
                <w:tcPr>
                  <w:tcW w:w="1804" w:type="dxa"/>
                  <w:gridSpan w:val="3"/>
                  <w:shd w:val="clear" w:color="auto" w:fill="DCD8C2"/>
                  <w:noWrap w:val="0"/>
                  <w:vAlign w:val="center"/>
                </w:tcPr>
                <w:p>
                  <w:pPr>
                    <w:pStyle w:val="32"/>
                    <w:jc w:val="center"/>
                    <w:rPr>
                      <w:sz w:val="18"/>
                      <w:szCs w:val="18"/>
                    </w:rPr>
                  </w:pPr>
                  <w:r>
                    <w:rPr>
                      <w:sz w:val="18"/>
                      <w:szCs w:val="18"/>
                    </w:rPr>
                    <w:t>1.85</w:t>
                  </w:r>
                </w:p>
              </w:tc>
              <w:tc>
                <w:tcPr>
                  <w:tcW w:w="1806" w:type="dxa"/>
                  <w:gridSpan w:val="3"/>
                  <w:noWrap w:val="0"/>
                  <w:vAlign w:val="center"/>
                </w:tcPr>
                <w:p>
                  <w:pPr>
                    <w:pStyle w:val="32"/>
                    <w:jc w:val="center"/>
                    <w:rPr>
                      <w:sz w:val="18"/>
                      <w:szCs w:val="18"/>
                    </w:rPr>
                  </w:pPr>
                  <w:r>
                    <w:rPr>
                      <w:sz w:val="18"/>
                      <w:szCs w:val="18"/>
                    </w:rPr>
                    <w:t>1.77</w:t>
                  </w:r>
                </w:p>
              </w:tc>
              <w:tc>
                <w:tcPr>
                  <w:tcW w:w="1808" w:type="dxa"/>
                  <w:gridSpan w:val="3"/>
                  <w:noWrap w:val="0"/>
                  <w:vAlign w:val="center"/>
                </w:tcPr>
                <w:p>
                  <w:pPr>
                    <w:pStyle w:val="32"/>
                    <w:jc w:val="center"/>
                    <w:rPr>
                      <w:sz w:val="18"/>
                      <w:szCs w:val="18"/>
                    </w:rPr>
                  </w:pPr>
                  <w:r>
                    <w:rPr>
                      <w:sz w:val="18"/>
                      <w:szCs w:val="18"/>
                    </w:rPr>
                    <w:t>1.77</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340" w:hRule="atLeast"/>
              </w:trPr>
              <w:tc>
                <w:tcPr>
                  <w:tcW w:w="1352" w:type="dxa"/>
                  <w:vMerge w:val="restart"/>
                  <w:noWrap w:val="0"/>
                  <w:vAlign w:val="center"/>
                </w:tcPr>
                <w:p>
                  <w:pPr>
                    <w:pStyle w:val="32"/>
                    <w:jc w:val="center"/>
                    <w:rPr>
                      <w:sz w:val="18"/>
                      <w:szCs w:val="18"/>
                    </w:rPr>
                  </w:pPr>
                  <w:r>
                    <w:rPr>
                      <w:sz w:val="18"/>
                      <w:szCs w:val="18"/>
                    </w:rPr>
                    <w:t>D</w:t>
                  </w:r>
                </w:p>
              </w:tc>
              <w:tc>
                <w:tcPr>
                  <w:tcW w:w="1272" w:type="dxa"/>
                  <w:noWrap w:val="0"/>
                  <w:vAlign w:val="center"/>
                </w:tcPr>
                <w:p>
                  <w:pPr>
                    <w:pStyle w:val="32"/>
                    <w:jc w:val="center"/>
                    <w:rPr>
                      <w:sz w:val="18"/>
                      <w:szCs w:val="18"/>
                    </w:rPr>
                  </w:pPr>
                  <w:r>
                    <w:rPr>
                      <w:sz w:val="18"/>
                      <w:szCs w:val="18"/>
                    </w:rPr>
                    <w:t>&lt;2</w:t>
                  </w:r>
                </w:p>
              </w:tc>
              <w:tc>
                <w:tcPr>
                  <w:tcW w:w="1804" w:type="dxa"/>
                  <w:gridSpan w:val="3"/>
                  <w:noWrap w:val="0"/>
                  <w:vAlign w:val="center"/>
                </w:tcPr>
                <w:p>
                  <w:pPr>
                    <w:pStyle w:val="32"/>
                    <w:jc w:val="center"/>
                    <w:rPr>
                      <w:sz w:val="18"/>
                      <w:szCs w:val="18"/>
                    </w:rPr>
                  </w:pPr>
                  <w:r>
                    <w:rPr>
                      <w:sz w:val="18"/>
                      <w:szCs w:val="18"/>
                    </w:rPr>
                    <w:t>0.78</w:t>
                  </w:r>
                </w:p>
              </w:tc>
              <w:tc>
                <w:tcPr>
                  <w:tcW w:w="1806" w:type="dxa"/>
                  <w:gridSpan w:val="3"/>
                  <w:noWrap w:val="0"/>
                  <w:vAlign w:val="center"/>
                </w:tcPr>
                <w:p>
                  <w:pPr>
                    <w:pStyle w:val="32"/>
                    <w:jc w:val="center"/>
                    <w:rPr>
                      <w:sz w:val="18"/>
                      <w:szCs w:val="18"/>
                    </w:rPr>
                  </w:pPr>
                  <w:r>
                    <w:rPr>
                      <w:sz w:val="18"/>
                      <w:szCs w:val="18"/>
                    </w:rPr>
                    <w:t>0.78</w:t>
                  </w:r>
                </w:p>
              </w:tc>
              <w:tc>
                <w:tcPr>
                  <w:tcW w:w="1808" w:type="dxa"/>
                  <w:gridSpan w:val="3"/>
                  <w:noWrap w:val="0"/>
                  <w:vAlign w:val="center"/>
                </w:tcPr>
                <w:p>
                  <w:pPr>
                    <w:pStyle w:val="32"/>
                    <w:jc w:val="center"/>
                    <w:rPr>
                      <w:sz w:val="18"/>
                      <w:szCs w:val="18"/>
                    </w:rPr>
                  </w:pPr>
                  <w:r>
                    <w:rPr>
                      <w:sz w:val="18"/>
                      <w:szCs w:val="18"/>
                    </w:rPr>
                    <w:t>0.57</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2" w:space="0"/>
                </w:tblBorders>
                <w:tblLayout w:type="fixed"/>
                <w:tblCellMar>
                  <w:top w:w="0" w:type="dxa"/>
                  <w:left w:w="0" w:type="dxa"/>
                  <w:bottom w:w="0" w:type="dxa"/>
                  <w:right w:w="0" w:type="dxa"/>
                </w:tblCellMar>
              </w:tblPrEx>
              <w:trPr>
                <w:trHeight w:val="340" w:hRule="atLeast"/>
              </w:trPr>
              <w:tc>
                <w:tcPr>
                  <w:tcW w:w="1352" w:type="dxa"/>
                  <w:vMerge w:val="continue"/>
                  <w:shd w:val="clear" w:color="auto" w:fill="auto"/>
                  <w:noWrap w:val="0"/>
                  <w:vAlign w:val="center"/>
                </w:tcPr>
                <w:p>
                  <w:pPr>
                    <w:jc w:val="center"/>
                    <w:rPr>
                      <w:sz w:val="18"/>
                      <w:szCs w:val="18"/>
                    </w:rPr>
                  </w:pPr>
                </w:p>
              </w:tc>
              <w:tc>
                <w:tcPr>
                  <w:tcW w:w="1272" w:type="dxa"/>
                  <w:shd w:val="clear" w:color="auto" w:fill="auto"/>
                  <w:noWrap w:val="0"/>
                  <w:vAlign w:val="center"/>
                </w:tcPr>
                <w:p>
                  <w:pPr>
                    <w:pStyle w:val="32"/>
                    <w:jc w:val="center"/>
                    <w:rPr>
                      <w:sz w:val="18"/>
                      <w:szCs w:val="18"/>
                    </w:rPr>
                  </w:pPr>
                  <w:r>
                    <w:rPr>
                      <w:sz w:val="18"/>
                      <w:szCs w:val="18"/>
                    </w:rPr>
                    <w:t>&gt;2</w:t>
                  </w:r>
                </w:p>
              </w:tc>
              <w:tc>
                <w:tcPr>
                  <w:tcW w:w="1804" w:type="dxa"/>
                  <w:gridSpan w:val="3"/>
                  <w:shd w:val="clear" w:color="auto" w:fill="DCD8C2"/>
                  <w:noWrap w:val="0"/>
                  <w:vAlign w:val="center"/>
                </w:tcPr>
                <w:p>
                  <w:pPr>
                    <w:pStyle w:val="32"/>
                    <w:jc w:val="center"/>
                    <w:rPr>
                      <w:sz w:val="18"/>
                      <w:szCs w:val="18"/>
                    </w:rPr>
                  </w:pPr>
                  <w:r>
                    <w:rPr>
                      <w:sz w:val="18"/>
                      <w:szCs w:val="18"/>
                    </w:rPr>
                    <w:t>0.84</w:t>
                  </w:r>
                </w:p>
              </w:tc>
              <w:tc>
                <w:tcPr>
                  <w:tcW w:w="1806" w:type="dxa"/>
                  <w:gridSpan w:val="3"/>
                  <w:noWrap w:val="0"/>
                  <w:vAlign w:val="center"/>
                </w:tcPr>
                <w:p>
                  <w:pPr>
                    <w:pStyle w:val="32"/>
                    <w:jc w:val="center"/>
                    <w:rPr>
                      <w:sz w:val="18"/>
                      <w:szCs w:val="18"/>
                    </w:rPr>
                  </w:pPr>
                  <w:r>
                    <w:rPr>
                      <w:sz w:val="18"/>
                      <w:szCs w:val="18"/>
                    </w:rPr>
                    <w:t>0.84</w:t>
                  </w:r>
                </w:p>
              </w:tc>
              <w:tc>
                <w:tcPr>
                  <w:tcW w:w="1808" w:type="dxa"/>
                  <w:gridSpan w:val="3"/>
                  <w:noWrap w:val="0"/>
                  <w:vAlign w:val="center"/>
                </w:tcPr>
                <w:p>
                  <w:pPr>
                    <w:pStyle w:val="32"/>
                    <w:jc w:val="center"/>
                    <w:rPr>
                      <w:sz w:val="18"/>
                      <w:szCs w:val="18"/>
                    </w:rPr>
                  </w:pPr>
                  <w:r>
                    <w:rPr>
                      <w:sz w:val="18"/>
                      <w:szCs w:val="18"/>
                    </w:rPr>
                    <w:t>0.76</w:t>
                  </w:r>
                </w:p>
              </w:tc>
            </w:tr>
          </w:tbl>
          <w:p>
            <w:pPr>
              <w:widowControl/>
              <w:autoSpaceDE w:val="0"/>
              <w:autoSpaceDN w:val="0"/>
              <w:adjustRightInd w:val="0"/>
              <w:spacing w:line="480" w:lineRule="exact"/>
              <w:ind w:firstLine="420" w:firstLineChars="200"/>
              <w:jc w:val="left"/>
              <w:rPr>
                <w:szCs w:val="21"/>
              </w:rPr>
            </w:pPr>
            <w:r>
              <w:rPr>
                <w:szCs w:val="21"/>
              </w:rPr>
              <w:t>A、B、C、D为计算系数。根据所在地平均风速及工业企业大气污染源构成类别查取，由表4-16中可知，A取470；B取0.021；C取1.85；D取0.84。计算结果见表4-17。</w:t>
            </w:r>
          </w:p>
          <w:p>
            <w:pPr>
              <w:pStyle w:val="54"/>
              <w:spacing w:line="480" w:lineRule="exact"/>
              <w:rPr>
                <w:szCs w:val="21"/>
              </w:rPr>
            </w:pPr>
            <w:r>
              <w:rPr>
                <w:bCs/>
                <w:sz w:val="18"/>
                <w:szCs w:val="18"/>
              </w:rPr>
              <w:t>表4-17  卫生防护距离计算结果</w:t>
            </w:r>
          </w:p>
          <w:tbl>
            <w:tblPr>
              <w:tblStyle w:val="21"/>
              <w:tblW w:w="8038"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422"/>
              <w:gridCol w:w="1414"/>
              <w:gridCol w:w="1274"/>
              <w:gridCol w:w="968"/>
              <w:gridCol w:w="170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noWrap w:val="0"/>
                  <w:vAlign w:val="center"/>
                </w:tcPr>
                <w:p>
                  <w:pPr>
                    <w:jc w:val="center"/>
                    <w:rPr>
                      <w:b/>
                      <w:bCs/>
                      <w:sz w:val="18"/>
                      <w:szCs w:val="18"/>
                    </w:rPr>
                  </w:pPr>
                  <w:r>
                    <w:rPr>
                      <w:b/>
                      <w:bCs/>
                      <w:sz w:val="18"/>
                      <w:szCs w:val="18"/>
                    </w:rPr>
                    <w:t>车间</w:t>
                  </w:r>
                </w:p>
              </w:tc>
              <w:tc>
                <w:tcPr>
                  <w:tcW w:w="1422" w:type="dxa"/>
                  <w:noWrap w:val="0"/>
                  <w:vAlign w:val="center"/>
                </w:tcPr>
                <w:p>
                  <w:pPr>
                    <w:jc w:val="center"/>
                    <w:rPr>
                      <w:b/>
                      <w:bCs/>
                      <w:sz w:val="18"/>
                      <w:szCs w:val="18"/>
                    </w:rPr>
                  </w:pPr>
                  <w:r>
                    <w:rPr>
                      <w:b/>
                      <w:bCs/>
                      <w:sz w:val="18"/>
                      <w:szCs w:val="18"/>
                    </w:rPr>
                    <w:t>污染物名称</w:t>
                  </w:r>
                </w:p>
              </w:tc>
              <w:tc>
                <w:tcPr>
                  <w:tcW w:w="1414" w:type="dxa"/>
                  <w:noWrap w:val="0"/>
                  <w:vAlign w:val="center"/>
                </w:tcPr>
                <w:p>
                  <w:pPr>
                    <w:jc w:val="center"/>
                    <w:rPr>
                      <w:b/>
                      <w:bCs/>
                      <w:sz w:val="18"/>
                      <w:szCs w:val="18"/>
                    </w:rPr>
                  </w:pPr>
                  <w:r>
                    <w:rPr>
                      <w:b/>
                      <w:bCs/>
                      <w:sz w:val="18"/>
                      <w:szCs w:val="18"/>
                    </w:rPr>
                    <w:t>排放速率kg/h</w:t>
                  </w:r>
                </w:p>
              </w:tc>
              <w:tc>
                <w:tcPr>
                  <w:tcW w:w="1274" w:type="dxa"/>
                  <w:noWrap w:val="0"/>
                  <w:vAlign w:val="center"/>
                </w:tcPr>
                <w:p>
                  <w:pPr>
                    <w:jc w:val="center"/>
                    <w:rPr>
                      <w:b/>
                      <w:bCs/>
                      <w:sz w:val="18"/>
                      <w:szCs w:val="18"/>
                    </w:rPr>
                  </w:pPr>
                  <w:r>
                    <w:rPr>
                      <w:b/>
                      <w:bCs/>
                      <w:sz w:val="18"/>
                      <w:szCs w:val="18"/>
                    </w:rPr>
                    <w:t>面源面积m</w:t>
                  </w:r>
                  <w:r>
                    <w:rPr>
                      <w:b/>
                      <w:bCs/>
                      <w:sz w:val="18"/>
                      <w:szCs w:val="18"/>
                      <w:vertAlign w:val="superscript"/>
                    </w:rPr>
                    <w:t>2</w:t>
                  </w:r>
                </w:p>
              </w:tc>
              <w:tc>
                <w:tcPr>
                  <w:tcW w:w="968" w:type="dxa"/>
                  <w:noWrap w:val="0"/>
                  <w:vAlign w:val="center"/>
                </w:tcPr>
                <w:p>
                  <w:pPr>
                    <w:jc w:val="center"/>
                    <w:rPr>
                      <w:b/>
                      <w:bCs/>
                      <w:sz w:val="18"/>
                      <w:szCs w:val="18"/>
                    </w:rPr>
                  </w:pPr>
                  <w:r>
                    <w:rPr>
                      <w:b/>
                      <w:bCs/>
                      <w:sz w:val="18"/>
                      <w:szCs w:val="18"/>
                    </w:rPr>
                    <w:t>计算值m</w:t>
                  </w:r>
                </w:p>
              </w:tc>
              <w:tc>
                <w:tcPr>
                  <w:tcW w:w="1707" w:type="dxa"/>
                  <w:noWrap w:val="0"/>
                  <w:vAlign w:val="center"/>
                </w:tcPr>
                <w:p>
                  <w:pPr>
                    <w:jc w:val="center"/>
                    <w:rPr>
                      <w:b/>
                      <w:bCs/>
                      <w:sz w:val="18"/>
                      <w:szCs w:val="18"/>
                    </w:rPr>
                  </w:pPr>
                  <w:r>
                    <w:rPr>
                      <w:b/>
                      <w:bCs/>
                      <w:sz w:val="18"/>
                      <w:szCs w:val="18"/>
                    </w:rPr>
                    <w:t>卫生防护距离m</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53" w:type="dxa"/>
                  <w:noWrap w:val="0"/>
                  <w:vAlign w:val="center"/>
                </w:tcPr>
                <w:p>
                  <w:pPr>
                    <w:widowControl/>
                    <w:jc w:val="center"/>
                    <w:textAlignment w:val="center"/>
                    <w:rPr>
                      <w:sz w:val="18"/>
                      <w:szCs w:val="18"/>
                    </w:rPr>
                  </w:pPr>
                  <w:r>
                    <w:rPr>
                      <w:sz w:val="18"/>
                      <w:szCs w:val="18"/>
                    </w:rPr>
                    <w:t>生产车间</w:t>
                  </w:r>
                </w:p>
              </w:tc>
              <w:tc>
                <w:tcPr>
                  <w:tcW w:w="1422" w:type="dxa"/>
                  <w:noWrap w:val="0"/>
                  <w:vAlign w:val="center"/>
                </w:tcPr>
                <w:p>
                  <w:pPr>
                    <w:pStyle w:val="59"/>
                    <w:spacing w:before="0" w:line="240" w:lineRule="auto"/>
                    <w:jc w:val="center"/>
                    <w:rPr>
                      <w:rFonts w:eastAsia="宋体"/>
                      <w:b w:val="0"/>
                      <w:bCs w:val="0"/>
                      <w:sz w:val="18"/>
                      <w:szCs w:val="18"/>
                    </w:rPr>
                  </w:pPr>
                  <w:r>
                    <w:rPr>
                      <w:rFonts w:eastAsia="宋体"/>
                      <w:b w:val="0"/>
                      <w:bCs w:val="0"/>
                      <w:sz w:val="18"/>
                      <w:szCs w:val="18"/>
                    </w:rPr>
                    <w:t>非甲烷总烃</w:t>
                  </w:r>
                </w:p>
              </w:tc>
              <w:tc>
                <w:tcPr>
                  <w:tcW w:w="1414" w:type="dxa"/>
                  <w:noWrap w:val="0"/>
                  <w:vAlign w:val="center"/>
                </w:tcPr>
                <w:p>
                  <w:pPr>
                    <w:widowControl/>
                    <w:jc w:val="center"/>
                    <w:textAlignment w:val="center"/>
                    <w:rPr>
                      <w:sz w:val="18"/>
                      <w:szCs w:val="18"/>
                    </w:rPr>
                  </w:pPr>
                  <w:r>
                    <w:rPr>
                      <w:rFonts w:hint="eastAsia"/>
                      <w:sz w:val="18"/>
                      <w:szCs w:val="18"/>
                      <w:lang w:val="en-US" w:eastAsia="zh-CN"/>
                    </w:rPr>
                    <w:t>0.0052</w:t>
                  </w:r>
                </w:p>
              </w:tc>
              <w:tc>
                <w:tcPr>
                  <w:tcW w:w="1274" w:type="dxa"/>
                  <w:noWrap w:val="0"/>
                  <w:vAlign w:val="center"/>
                </w:tcPr>
                <w:p>
                  <w:pPr>
                    <w:jc w:val="center"/>
                    <w:rPr>
                      <w:rFonts w:hint="default" w:eastAsia="宋体"/>
                      <w:sz w:val="18"/>
                      <w:szCs w:val="18"/>
                      <w:lang w:val="en-US" w:eastAsia="zh-CN"/>
                    </w:rPr>
                  </w:pPr>
                  <w:r>
                    <w:rPr>
                      <w:rFonts w:hint="eastAsia"/>
                      <w:sz w:val="18"/>
                      <w:szCs w:val="18"/>
                      <w:lang w:val="en-US" w:eastAsia="zh-CN"/>
                    </w:rPr>
                    <w:t>280</w:t>
                  </w:r>
                </w:p>
              </w:tc>
              <w:tc>
                <w:tcPr>
                  <w:tcW w:w="968" w:type="dxa"/>
                  <w:noWrap w:val="0"/>
                  <w:vAlign w:val="center"/>
                </w:tcPr>
                <w:p>
                  <w:pPr>
                    <w:jc w:val="center"/>
                    <w:rPr>
                      <w:rFonts w:hint="default" w:eastAsia="宋体"/>
                      <w:sz w:val="18"/>
                      <w:szCs w:val="18"/>
                      <w:highlight w:val="yellow"/>
                      <w:lang w:val="en-US" w:eastAsia="zh-CN"/>
                    </w:rPr>
                  </w:pPr>
                  <w:r>
                    <w:rPr>
                      <w:rFonts w:hint="eastAsia"/>
                      <w:sz w:val="18"/>
                      <w:szCs w:val="18"/>
                      <w:lang w:val="en-US" w:eastAsia="zh-CN"/>
                    </w:rPr>
                    <w:t>0.244</w:t>
                  </w:r>
                </w:p>
              </w:tc>
              <w:tc>
                <w:tcPr>
                  <w:tcW w:w="1707" w:type="dxa"/>
                  <w:noWrap w:val="0"/>
                  <w:vAlign w:val="center"/>
                </w:tcPr>
                <w:p>
                  <w:pPr>
                    <w:jc w:val="center"/>
                    <w:rPr>
                      <w:sz w:val="18"/>
                      <w:szCs w:val="18"/>
                    </w:rPr>
                  </w:pPr>
                  <w:r>
                    <w:rPr>
                      <w:sz w:val="18"/>
                      <w:szCs w:val="18"/>
                    </w:rPr>
                    <w:t>50</w:t>
                  </w:r>
                </w:p>
              </w:tc>
            </w:tr>
          </w:tbl>
          <w:p>
            <w:pPr>
              <w:widowControl/>
              <w:autoSpaceDE w:val="0"/>
              <w:autoSpaceDN w:val="0"/>
              <w:adjustRightInd w:val="0"/>
              <w:spacing w:line="480" w:lineRule="exact"/>
              <w:ind w:firstLine="420" w:firstLineChars="200"/>
              <w:jc w:val="left"/>
              <w:rPr>
                <w:szCs w:val="21"/>
              </w:rPr>
            </w:pPr>
            <w:r>
              <w:rPr>
                <w:szCs w:val="21"/>
              </w:rPr>
              <w:t>由上表计算结果，并根据GB/T 39499-2020规定，卫生防护距离初值小于50m时，级差为50m。如计算初值小于50m，卫生防护距离终值取50m。卫生防护距离初值大于或等于50m，但小于100m时，级差为50m。如计算初值大于或等于50m并小于100m时，卫生防护距离终值取100m。综上，本项目建成后卫生防护距离以生产车间外扩50m设置。该</w:t>
            </w:r>
            <w:r>
              <w:rPr>
                <w:rFonts w:hint="eastAsia"/>
                <w:szCs w:val="21"/>
                <w:lang w:eastAsia="zh-CN"/>
              </w:rPr>
              <w:t>范围</w:t>
            </w:r>
            <w:r>
              <w:rPr>
                <w:szCs w:val="21"/>
              </w:rPr>
              <w:t>内无居民小区、学校、医院等环境敏感保护目标分布，可满足建设项目卫生防护距离的要求。卫生防护距离区域内，将来也不允许新建居民小区、学校、医院等属于环境保护目标的项目。</w:t>
            </w:r>
          </w:p>
          <w:p>
            <w:pPr>
              <w:widowControl/>
              <w:autoSpaceDE w:val="0"/>
              <w:autoSpaceDN w:val="0"/>
              <w:adjustRightInd w:val="0"/>
              <w:spacing w:line="480" w:lineRule="exact"/>
              <w:ind w:firstLine="422" w:firstLineChars="200"/>
              <w:jc w:val="left"/>
              <w:rPr>
                <w:b/>
                <w:bCs/>
                <w:szCs w:val="21"/>
              </w:rPr>
            </w:pPr>
            <w:r>
              <w:rPr>
                <w:rFonts w:hint="eastAsia"/>
                <w:b/>
                <w:bCs/>
                <w:szCs w:val="21"/>
                <w:lang w:val="en-US" w:eastAsia="zh-CN"/>
              </w:rPr>
              <w:t>7</w:t>
            </w:r>
            <w:r>
              <w:rPr>
                <w:b/>
                <w:bCs/>
                <w:szCs w:val="21"/>
              </w:rPr>
              <w:t xml:space="preserve">、监测要求 </w:t>
            </w:r>
          </w:p>
          <w:p>
            <w:pPr>
              <w:widowControl/>
              <w:autoSpaceDE w:val="0"/>
              <w:autoSpaceDN w:val="0"/>
              <w:adjustRightInd w:val="0"/>
              <w:spacing w:line="480" w:lineRule="exact"/>
              <w:ind w:firstLine="420" w:firstLineChars="200"/>
              <w:jc w:val="left"/>
              <w:rPr>
                <w:szCs w:val="21"/>
              </w:rPr>
            </w:pPr>
            <w:r>
              <w:rPr>
                <w:szCs w:val="21"/>
              </w:rPr>
              <w:t>根据《排污单位自行监测技术指南 总则》（HJ819-2017）及《</w:t>
            </w:r>
            <w:r>
              <w:rPr>
                <w:rFonts w:hint="eastAsia"/>
                <w:szCs w:val="21"/>
              </w:rPr>
              <w:t>排污许可证申请与核发技术规范 橡胶和塑料制品工业</w:t>
            </w:r>
            <w:r>
              <w:rPr>
                <w:szCs w:val="21"/>
              </w:rPr>
              <w:t>》</w:t>
            </w:r>
            <w:r>
              <w:rPr>
                <w:rFonts w:hint="eastAsia"/>
                <w:szCs w:val="21"/>
              </w:rPr>
              <w:t>（HJ1122—2020）</w:t>
            </w:r>
            <w:r>
              <w:rPr>
                <w:szCs w:val="21"/>
              </w:rPr>
              <w:t>，本项目运营期废气污染源环境监测计划见表4-18。</w:t>
            </w:r>
          </w:p>
          <w:p>
            <w:pPr>
              <w:tabs>
                <w:tab w:val="left" w:pos="784"/>
              </w:tabs>
              <w:spacing w:line="480" w:lineRule="exact"/>
              <w:jc w:val="center"/>
              <w:rPr>
                <w:b/>
                <w:bCs/>
                <w:sz w:val="18"/>
                <w:szCs w:val="18"/>
              </w:rPr>
            </w:pPr>
            <w:r>
              <w:rPr>
                <w:b/>
                <w:bCs/>
                <w:sz w:val="18"/>
                <w:szCs w:val="18"/>
              </w:rPr>
              <w:t>表4-18  项目营运期大气环境监控计划一览表</w:t>
            </w:r>
          </w:p>
          <w:tbl>
            <w:tblPr>
              <w:tblStyle w:val="21"/>
              <w:tblW w:w="8038" w:type="dxa"/>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62"/>
              <w:gridCol w:w="666"/>
              <w:gridCol w:w="1741"/>
              <w:gridCol w:w="2101"/>
              <w:gridCol w:w="833"/>
              <w:gridCol w:w="1036"/>
              <w:gridCol w:w="999"/>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7" w:hRule="exact"/>
              </w:trPr>
              <w:tc>
                <w:tcPr>
                  <w:tcW w:w="662" w:type="dxa"/>
                  <w:noWrap w:val="0"/>
                  <w:vAlign w:val="center"/>
                </w:tcPr>
                <w:p>
                  <w:pPr>
                    <w:pStyle w:val="32"/>
                    <w:jc w:val="center"/>
                    <w:rPr>
                      <w:sz w:val="18"/>
                      <w:szCs w:val="18"/>
                    </w:rPr>
                  </w:pPr>
                  <w:r>
                    <w:rPr>
                      <w:b/>
                      <w:bCs/>
                      <w:sz w:val="18"/>
                      <w:szCs w:val="18"/>
                    </w:rPr>
                    <w:t>时段</w:t>
                  </w:r>
                </w:p>
              </w:tc>
              <w:tc>
                <w:tcPr>
                  <w:tcW w:w="666" w:type="dxa"/>
                  <w:noWrap w:val="0"/>
                  <w:vAlign w:val="center"/>
                </w:tcPr>
                <w:p>
                  <w:pPr>
                    <w:pStyle w:val="32"/>
                    <w:jc w:val="center"/>
                    <w:rPr>
                      <w:sz w:val="18"/>
                      <w:szCs w:val="18"/>
                    </w:rPr>
                  </w:pPr>
                  <w:r>
                    <w:rPr>
                      <w:b/>
                      <w:bCs/>
                      <w:sz w:val="18"/>
                      <w:szCs w:val="18"/>
                    </w:rPr>
                    <w:t>类型</w:t>
                  </w:r>
                </w:p>
              </w:tc>
              <w:tc>
                <w:tcPr>
                  <w:tcW w:w="1741" w:type="dxa"/>
                  <w:noWrap w:val="0"/>
                  <w:vAlign w:val="center"/>
                </w:tcPr>
                <w:p>
                  <w:pPr>
                    <w:pStyle w:val="32"/>
                    <w:jc w:val="center"/>
                    <w:rPr>
                      <w:sz w:val="18"/>
                      <w:szCs w:val="18"/>
                    </w:rPr>
                  </w:pPr>
                  <w:r>
                    <w:rPr>
                      <w:b/>
                      <w:bCs/>
                      <w:sz w:val="18"/>
                      <w:szCs w:val="18"/>
                    </w:rPr>
                    <w:t>监测位置</w:t>
                  </w:r>
                </w:p>
              </w:tc>
              <w:tc>
                <w:tcPr>
                  <w:tcW w:w="2101" w:type="dxa"/>
                  <w:noWrap w:val="0"/>
                  <w:vAlign w:val="center"/>
                </w:tcPr>
                <w:p>
                  <w:pPr>
                    <w:pStyle w:val="32"/>
                    <w:jc w:val="center"/>
                    <w:rPr>
                      <w:sz w:val="18"/>
                      <w:szCs w:val="18"/>
                    </w:rPr>
                  </w:pPr>
                  <w:r>
                    <w:rPr>
                      <w:b/>
                      <w:bCs/>
                      <w:sz w:val="18"/>
                      <w:szCs w:val="18"/>
                    </w:rPr>
                    <w:t>监测项目</w:t>
                  </w:r>
                </w:p>
              </w:tc>
              <w:tc>
                <w:tcPr>
                  <w:tcW w:w="833" w:type="dxa"/>
                  <w:noWrap w:val="0"/>
                  <w:vAlign w:val="center"/>
                </w:tcPr>
                <w:p>
                  <w:pPr>
                    <w:pStyle w:val="32"/>
                    <w:jc w:val="center"/>
                    <w:rPr>
                      <w:sz w:val="18"/>
                      <w:szCs w:val="18"/>
                    </w:rPr>
                  </w:pPr>
                  <w:r>
                    <w:rPr>
                      <w:b/>
                      <w:bCs/>
                      <w:sz w:val="18"/>
                      <w:szCs w:val="18"/>
                    </w:rPr>
                    <w:t>频次</w:t>
                  </w:r>
                </w:p>
              </w:tc>
              <w:tc>
                <w:tcPr>
                  <w:tcW w:w="1036" w:type="dxa"/>
                  <w:noWrap w:val="0"/>
                  <w:vAlign w:val="center"/>
                </w:tcPr>
                <w:p>
                  <w:pPr>
                    <w:pStyle w:val="32"/>
                    <w:jc w:val="center"/>
                    <w:rPr>
                      <w:sz w:val="18"/>
                      <w:szCs w:val="18"/>
                    </w:rPr>
                  </w:pPr>
                  <w:r>
                    <w:rPr>
                      <w:b/>
                      <w:bCs/>
                      <w:sz w:val="18"/>
                      <w:szCs w:val="18"/>
                    </w:rPr>
                    <w:t>监测方法</w:t>
                  </w:r>
                </w:p>
              </w:tc>
              <w:tc>
                <w:tcPr>
                  <w:tcW w:w="999" w:type="dxa"/>
                  <w:noWrap w:val="0"/>
                  <w:vAlign w:val="center"/>
                </w:tcPr>
                <w:p>
                  <w:pPr>
                    <w:pStyle w:val="32"/>
                    <w:jc w:val="center"/>
                    <w:rPr>
                      <w:sz w:val="18"/>
                      <w:szCs w:val="18"/>
                    </w:rPr>
                  </w:pPr>
                  <w:r>
                    <w:rPr>
                      <w:b/>
                      <w:bCs/>
                      <w:sz w:val="18"/>
                      <w:szCs w:val="18"/>
                    </w:rPr>
                    <w:t>备注</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76" w:hRule="exact"/>
              </w:trPr>
              <w:tc>
                <w:tcPr>
                  <w:tcW w:w="662" w:type="dxa"/>
                  <w:vMerge w:val="restart"/>
                  <w:noWrap w:val="0"/>
                  <w:vAlign w:val="center"/>
                </w:tcPr>
                <w:p>
                  <w:pPr>
                    <w:pStyle w:val="32"/>
                    <w:jc w:val="center"/>
                    <w:rPr>
                      <w:sz w:val="18"/>
                      <w:szCs w:val="18"/>
                    </w:rPr>
                  </w:pPr>
                  <w:r>
                    <w:rPr>
                      <w:sz w:val="18"/>
                      <w:szCs w:val="18"/>
                    </w:rPr>
                    <w:t>营运期</w:t>
                  </w:r>
                </w:p>
              </w:tc>
              <w:tc>
                <w:tcPr>
                  <w:tcW w:w="666" w:type="dxa"/>
                  <w:vMerge w:val="restart"/>
                  <w:noWrap w:val="0"/>
                  <w:vAlign w:val="center"/>
                </w:tcPr>
                <w:p>
                  <w:pPr>
                    <w:pStyle w:val="32"/>
                    <w:jc w:val="center"/>
                    <w:rPr>
                      <w:sz w:val="18"/>
                      <w:szCs w:val="18"/>
                    </w:rPr>
                  </w:pPr>
                  <w:r>
                    <w:rPr>
                      <w:sz w:val="18"/>
                      <w:szCs w:val="18"/>
                    </w:rPr>
                    <w:t>废气</w:t>
                  </w:r>
                </w:p>
              </w:tc>
              <w:tc>
                <w:tcPr>
                  <w:tcW w:w="1741" w:type="dxa"/>
                  <w:noWrap w:val="0"/>
                  <w:vAlign w:val="center"/>
                </w:tcPr>
                <w:p>
                  <w:pPr>
                    <w:pStyle w:val="32"/>
                    <w:jc w:val="center"/>
                    <w:rPr>
                      <w:sz w:val="18"/>
                      <w:szCs w:val="18"/>
                    </w:rPr>
                  </w:pPr>
                  <w:r>
                    <w:rPr>
                      <w:sz w:val="18"/>
                      <w:szCs w:val="18"/>
                    </w:rPr>
                    <w:t>DA001排气筒进出口</w:t>
                  </w:r>
                </w:p>
              </w:tc>
              <w:tc>
                <w:tcPr>
                  <w:tcW w:w="2101" w:type="dxa"/>
                  <w:noWrap w:val="0"/>
                  <w:vAlign w:val="center"/>
                </w:tcPr>
                <w:p>
                  <w:pPr>
                    <w:pStyle w:val="32"/>
                    <w:jc w:val="center"/>
                    <w:rPr>
                      <w:sz w:val="18"/>
                      <w:szCs w:val="18"/>
                    </w:rPr>
                  </w:pPr>
                  <w:r>
                    <w:rPr>
                      <w:sz w:val="18"/>
                      <w:szCs w:val="18"/>
                    </w:rPr>
                    <w:t>非甲烷总烃</w:t>
                  </w:r>
                </w:p>
              </w:tc>
              <w:tc>
                <w:tcPr>
                  <w:tcW w:w="833" w:type="dxa"/>
                  <w:noWrap w:val="0"/>
                  <w:vAlign w:val="center"/>
                </w:tcPr>
                <w:p>
                  <w:pPr>
                    <w:pStyle w:val="32"/>
                    <w:jc w:val="center"/>
                    <w:rPr>
                      <w:sz w:val="18"/>
                      <w:szCs w:val="18"/>
                    </w:rPr>
                  </w:pPr>
                  <w:r>
                    <w:rPr>
                      <w:sz w:val="18"/>
                      <w:szCs w:val="18"/>
                    </w:rPr>
                    <w:t>每年一次</w:t>
                  </w:r>
                </w:p>
              </w:tc>
              <w:tc>
                <w:tcPr>
                  <w:tcW w:w="1036" w:type="dxa"/>
                  <w:vMerge w:val="restart"/>
                  <w:noWrap w:val="0"/>
                  <w:vAlign w:val="center"/>
                </w:tcPr>
                <w:p>
                  <w:pPr>
                    <w:pStyle w:val="32"/>
                    <w:jc w:val="center"/>
                    <w:rPr>
                      <w:sz w:val="18"/>
                      <w:szCs w:val="18"/>
                    </w:rPr>
                  </w:pPr>
                  <w:r>
                    <w:rPr>
                      <w:sz w:val="18"/>
                      <w:szCs w:val="18"/>
                    </w:rPr>
                    <w:t>委托有资质环境监测单位实施监测，采用国家规定最新监测方法与标准</w:t>
                  </w:r>
                </w:p>
              </w:tc>
              <w:tc>
                <w:tcPr>
                  <w:tcW w:w="999" w:type="dxa"/>
                  <w:vMerge w:val="restart"/>
                  <w:noWrap w:val="0"/>
                  <w:vAlign w:val="center"/>
                </w:tcPr>
                <w:p>
                  <w:pPr>
                    <w:widowControl/>
                    <w:jc w:val="center"/>
                    <w:rPr>
                      <w:sz w:val="18"/>
                      <w:szCs w:val="18"/>
                    </w:rPr>
                  </w:pPr>
                  <w:r>
                    <w:rPr>
                      <w:sz w:val="18"/>
                      <w:szCs w:val="18"/>
                    </w:rP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43" w:hRule="exact"/>
              </w:trPr>
              <w:tc>
                <w:tcPr>
                  <w:tcW w:w="662" w:type="dxa"/>
                  <w:vMerge w:val="continue"/>
                  <w:noWrap w:val="0"/>
                  <w:vAlign w:val="center"/>
                </w:tcPr>
                <w:p>
                  <w:pPr>
                    <w:jc w:val="center"/>
                    <w:rPr>
                      <w:sz w:val="18"/>
                      <w:szCs w:val="18"/>
                    </w:rPr>
                  </w:pPr>
                </w:p>
              </w:tc>
              <w:tc>
                <w:tcPr>
                  <w:tcW w:w="666" w:type="dxa"/>
                  <w:vMerge w:val="continue"/>
                  <w:noWrap w:val="0"/>
                  <w:vAlign w:val="center"/>
                </w:tcPr>
                <w:p>
                  <w:pPr>
                    <w:pStyle w:val="32"/>
                    <w:jc w:val="center"/>
                    <w:rPr>
                      <w:sz w:val="18"/>
                      <w:szCs w:val="18"/>
                    </w:rPr>
                  </w:pPr>
                </w:p>
              </w:tc>
              <w:tc>
                <w:tcPr>
                  <w:tcW w:w="1741" w:type="dxa"/>
                  <w:noWrap w:val="0"/>
                  <w:vAlign w:val="center"/>
                </w:tcPr>
                <w:p>
                  <w:pPr>
                    <w:pStyle w:val="32"/>
                    <w:jc w:val="center"/>
                    <w:rPr>
                      <w:sz w:val="18"/>
                      <w:szCs w:val="18"/>
                    </w:rPr>
                  </w:pPr>
                  <w:r>
                    <w:rPr>
                      <w:sz w:val="18"/>
                      <w:szCs w:val="18"/>
                    </w:rPr>
                    <w:t>下风向监测点3个</w:t>
                  </w:r>
                </w:p>
              </w:tc>
              <w:tc>
                <w:tcPr>
                  <w:tcW w:w="2101" w:type="dxa"/>
                  <w:noWrap w:val="0"/>
                  <w:vAlign w:val="center"/>
                </w:tcPr>
                <w:p>
                  <w:pPr>
                    <w:pStyle w:val="32"/>
                    <w:jc w:val="center"/>
                    <w:rPr>
                      <w:sz w:val="18"/>
                      <w:szCs w:val="18"/>
                    </w:rPr>
                  </w:pPr>
                  <w:r>
                    <w:rPr>
                      <w:sz w:val="18"/>
                      <w:szCs w:val="18"/>
                    </w:rPr>
                    <w:t>非甲烷总烃</w:t>
                  </w:r>
                </w:p>
              </w:tc>
              <w:tc>
                <w:tcPr>
                  <w:tcW w:w="833" w:type="dxa"/>
                  <w:vMerge w:val="restart"/>
                  <w:noWrap w:val="0"/>
                  <w:vAlign w:val="center"/>
                </w:tcPr>
                <w:p>
                  <w:pPr>
                    <w:pStyle w:val="32"/>
                    <w:jc w:val="center"/>
                    <w:rPr>
                      <w:sz w:val="18"/>
                      <w:szCs w:val="18"/>
                    </w:rPr>
                  </w:pPr>
                  <w:r>
                    <w:rPr>
                      <w:sz w:val="18"/>
                      <w:szCs w:val="18"/>
                    </w:rPr>
                    <w:t>每年一次</w:t>
                  </w:r>
                </w:p>
              </w:tc>
              <w:tc>
                <w:tcPr>
                  <w:tcW w:w="1036" w:type="dxa"/>
                  <w:vMerge w:val="continue"/>
                  <w:noWrap w:val="0"/>
                  <w:vAlign w:val="center"/>
                </w:tcPr>
                <w:p>
                  <w:pPr>
                    <w:jc w:val="center"/>
                    <w:rPr>
                      <w:sz w:val="18"/>
                      <w:szCs w:val="18"/>
                    </w:rPr>
                  </w:pPr>
                </w:p>
              </w:tc>
              <w:tc>
                <w:tcPr>
                  <w:tcW w:w="999" w:type="dxa"/>
                  <w:vMerge w:val="continue"/>
                  <w:noWrap w:val="0"/>
                  <w:vAlign w:val="center"/>
                </w:tcPr>
                <w:p>
                  <w:pPr>
                    <w:jc w:val="center"/>
                    <w:rPr>
                      <w:sz w:val="18"/>
                      <w:szCs w:val="18"/>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43" w:hRule="exact"/>
              </w:trPr>
              <w:tc>
                <w:tcPr>
                  <w:tcW w:w="662" w:type="dxa"/>
                  <w:vMerge w:val="continue"/>
                  <w:noWrap w:val="0"/>
                  <w:vAlign w:val="center"/>
                </w:tcPr>
                <w:p>
                  <w:pPr>
                    <w:jc w:val="center"/>
                    <w:rPr>
                      <w:sz w:val="18"/>
                      <w:szCs w:val="18"/>
                    </w:rPr>
                  </w:pPr>
                </w:p>
              </w:tc>
              <w:tc>
                <w:tcPr>
                  <w:tcW w:w="666" w:type="dxa"/>
                  <w:vMerge w:val="continue"/>
                  <w:noWrap w:val="0"/>
                  <w:vAlign w:val="center"/>
                </w:tcPr>
                <w:p>
                  <w:pPr>
                    <w:pStyle w:val="32"/>
                    <w:jc w:val="center"/>
                    <w:rPr>
                      <w:sz w:val="18"/>
                      <w:szCs w:val="18"/>
                    </w:rPr>
                  </w:pPr>
                </w:p>
              </w:tc>
              <w:tc>
                <w:tcPr>
                  <w:tcW w:w="1741" w:type="dxa"/>
                  <w:noWrap w:val="0"/>
                  <w:vAlign w:val="center"/>
                </w:tcPr>
                <w:p>
                  <w:pPr>
                    <w:pStyle w:val="32"/>
                    <w:jc w:val="center"/>
                    <w:rPr>
                      <w:sz w:val="18"/>
                      <w:szCs w:val="18"/>
                    </w:rPr>
                  </w:pPr>
                  <w:r>
                    <w:rPr>
                      <w:sz w:val="18"/>
                      <w:szCs w:val="18"/>
                    </w:rPr>
                    <w:t>上风向监测点1个</w:t>
                  </w:r>
                </w:p>
              </w:tc>
              <w:tc>
                <w:tcPr>
                  <w:tcW w:w="2101" w:type="dxa"/>
                  <w:noWrap w:val="0"/>
                  <w:vAlign w:val="center"/>
                </w:tcPr>
                <w:p>
                  <w:pPr>
                    <w:pStyle w:val="32"/>
                    <w:jc w:val="center"/>
                    <w:rPr>
                      <w:sz w:val="18"/>
                      <w:szCs w:val="18"/>
                    </w:rPr>
                  </w:pPr>
                  <w:r>
                    <w:rPr>
                      <w:sz w:val="18"/>
                      <w:szCs w:val="18"/>
                    </w:rPr>
                    <w:t>非甲烷总烃</w:t>
                  </w:r>
                </w:p>
              </w:tc>
              <w:tc>
                <w:tcPr>
                  <w:tcW w:w="833" w:type="dxa"/>
                  <w:vMerge w:val="continue"/>
                  <w:noWrap w:val="0"/>
                  <w:vAlign w:val="center"/>
                </w:tcPr>
                <w:p>
                  <w:pPr>
                    <w:pStyle w:val="32"/>
                    <w:jc w:val="center"/>
                    <w:rPr>
                      <w:sz w:val="18"/>
                      <w:szCs w:val="18"/>
                    </w:rPr>
                  </w:pPr>
                </w:p>
              </w:tc>
              <w:tc>
                <w:tcPr>
                  <w:tcW w:w="1036" w:type="dxa"/>
                  <w:vMerge w:val="continue"/>
                  <w:noWrap w:val="0"/>
                  <w:vAlign w:val="center"/>
                </w:tcPr>
                <w:p>
                  <w:pPr>
                    <w:jc w:val="center"/>
                    <w:rPr>
                      <w:sz w:val="18"/>
                      <w:szCs w:val="18"/>
                    </w:rPr>
                  </w:pPr>
                </w:p>
              </w:tc>
              <w:tc>
                <w:tcPr>
                  <w:tcW w:w="999" w:type="dxa"/>
                  <w:vMerge w:val="continue"/>
                  <w:noWrap w:val="0"/>
                  <w:vAlign w:val="center"/>
                </w:tcPr>
                <w:p>
                  <w:pPr>
                    <w:jc w:val="center"/>
                    <w:rPr>
                      <w:sz w:val="18"/>
                      <w:szCs w:val="18"/>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43" w:hRule="exact"/>
              </w:trPr>
              <w:tc>
                <w:tcPr>
                  <w:tcW w:w="662" w:type="dxa"/>
                  <w:vMerge w:val="continue"/>
                  <w:noWrap w:val="0"/>
                  <w:vAlign w:val="center"/>
                </w:tcPr>
                <w:p>
                  <w:pPr>
                    <w:jc w:val="center"/>
                    <w:rPr>
                      <w:sz w:val="18"/>
                      <w:szCs w:val="18"/>
                    </w:rPr>
                  </w:pPr>
                </w:p>
              </w:tc>
              <w:tc>
                <w:tcPr>
                  <w:tcW w:w="666" w:type="dxa"/>
                  <w:vMerge w:val="continue"/>
                  <w:noWrap w:val="0"/>
                  <w:vAlign w:val="center"/>
                </w:tcPr>
                <w:p>
                  <w:pPr>
                    <w:pStyle w:val="32"/>
                    <w:jc w:val="center"/>
                    <w:rPr>
                      <w:sz w:val="18"/>
                      <w:szCs w:val="18"/>
                    </w:rPr>
                  </w:pPr>
                </w:p>
              </w:tc>
              <w:tc>
                <w:tcPr>
                  <w:tcW w:w="1741" w:type="dxa"/>
                  <w:noWrap w:val="0"/>
                  <w:vAlign w:val="center"/>
                </w:tcPr>
                <w:p>
                  <w:pPr>
                    <w:pStyle w:val="32"/>
                    <w:jc w:val="center"/>
                    <w:rPr>
                      <w:sz w:val="18"/>
                      <w:szCs w:val="18"/>
                    </w:rPr>
                  </w:pPr>
                  <w:r>
                    <w:rPr>
                      <w:sz w:val="18"/>
                      <w:szCs w:val="18"/>
                    </w:rPr>
                    <w:t>厂区内监测点1个</w:t>
                  </w:r>
                </w:p>
              </w:tc>
              <w:tc>
                <w:tcPr>
                  <w:tcW w:w="2101" w:type="dxa"/>
                  <w:noWrap w:val="0"/>
                  <w:vAlign w:val="center"/>
                </w:tcPr>
                <w:p>
                  <w:pPr>
                    <w:pStyle w:val="32"/>
                    <w:jc w:val="center"/>
                    <w:rPr>
                      <w:sz w:val="18"/>
                      <w:szCs w:val="18"/>
                    </w:rPr>
                  </w:pPr>
                  <w:r>
                    <w:rPr>
                      <w:sz w:val="18"/>
                      <w:szCs w:val="18"/>
                    </w:rPr>
                    <w:t>非甲烷总烃</w:t>
                  </w:r>
                </w:p>
              </w:tc>
              <w:tc>
                <w:tcPr>
                  <w:tcW w:w="833" w:type="dxa"/>
                  <w:noWrap w:val="0"/>
                  <w:vAlign w:val="center"/>
                </w:tcPr>
                <w:p>
                  <w:pPr>
                    <w:pStyle w:val="32"/>
                    <w:jc w:val="center"/>
                    <w:rPr>
                      <w:sz w:val="18"/>
                      <w:szCs w:val="18"/>
                    </w:rPr>
                  </w:pPr>
                  <w:r>
                    <w:rPr>
                      <w:sz w:val="18"/>
                      <w:szCs w:val="18"/>
                    </w:rPr>
                    <w:t>每年一次</w:t>
                  </w:r>
                </w:p>
              </w:tc>
              <w:tc>
                <w:tcPr>
                  <w:tcW w:w="1036" w:type="dxa"/>
                  <w:vMerge w:val="continue"/>
                  <w:noWrap w:val="0"/>
                  <w:vAlign w:val="center"/>
                </w:tcPr>
                <w:p>
                  <w:pPr>
                    <w:jc w:val="center"/>
                    <w:rPr>
                      <w:sz w:val="18"/>
                      <w:szCs w:val="18"/>
                    </w:rPr>
                  </w:pPr>
                </w:p>
              </w:tc>
              <w:tc>
                <w:tcPr>
                  <w:tcW w:w="999" w:type="dxa"/>
                  <w:vMerge w:val="continue"/>
                  <w:noWrap w:val="0"/>
                  <w:vAlign w:val="center"/>
                </w:tcPr>
                <w:p>
                  <w:pPr>
                    <w:jc w:val="center"/>
                    <w:rPr>
                      <w:sz w:val="18"/>
                      <w:szCs w:val="18"/>
                    </w:rPr>
                  </w:pPr>
                </w:p>
              </w:tc>
            </w:tr>
          </w:tbl>
          <w:p>
            <w:pPr>
              <w:pStyle w:val="17"/>
              <w:jc w:val="center"/>
              <w:outlineLvl w:val="0"/>
              <w:rPr>
                <w:rFonts w:ascii="Times New Roman" w:hAnsi="Times New Roman" w:eastAsia="黑体"/>
                <w:snapToGrid w:val="0"/>
                <w:sz w:val="30"/>
                <w:szCs w:val="30"/>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80" w:type="dxa"/>
          <w:wAfter w:w="20" w:type="dxa"/>
          <w:trHeight w:val="10035" w:hRule="atLeast"/>
          <w:jc w:val="center"/>
        </w:trPr>
        <w:tc>
          <w:tcPr>
            <w:tcW w:w="540" w:type="dxa"/>
            <w:tcMar>
              <w:left w:w="28" w:type="dxa"/>
              <w:right w:w="28" w:type="dxa"/>
            </w:tcMar>
            <w:vAlign w:val="center"/>
          </w:tcPr>
          <w:p>
            <w:pPr>
              <w:adjustRightInd w:val="0"/>
              <w:snapToGrid w:val="0"/>
              <w:jc w:val="center"/>
              <w:rPr>
                <w:bCs/>
                <w:szCs w:val="21"/>
              </w:rPr>
            </w:pPr>
          </w:p>
        </w:tc>
        <w:tc>
          <w:tcPr>
            <w:tcW w:w="8368" w:type="dxa"/>
            <w:gridSpan w:val="2"/>
            <w:vAlign w:val="center"/>
          </w:tcPr>
          <w:p>
            <w:pPr>
              <w:pStyle w:val="9"/>
              <w:numPr>
                <w:ilvl w:val="0"/>
                <w:numId w:val="0"/>
              </w:numPr>
              <w:spacing w:line="360" w:lineRule="auto"/>
              <w:ind w:firstLine="422" w:firstLineChars="200"/>
              <w:rPr>
                <w:b/>
                <w:bCs/>
                <w:szCs w:val="21"/>
              </w:rPr>
            </w:pPr>
            <w:r>
              <w:rPr>
                <w:rFonts w:hint="eastAsia"/>
                <w:b/>
                <w:bCs/>
                <w:szCs w:val="21"/>
                <w:lang w:val="en-US" w:eastAsia="zh-CN"/>
              </w:rPr>
              <w:t>三</w:t>
            </w:r>
            <w:r>
              <w:rPr>
                <w:rFonts w:hint="eastAsia"/>
                <w:b/>
                <w:bCs/>
                <w:szCs w:val="21"/>
              </w:rPr>
              <w:t>、运营期</w:t>
            </w:r>
            <w:r>
              <w:rPr>
                <w:rFonts w:hint="eastAsia"/>
                <w:b/>
                <w:bCs/>
                <w:szCs w:val="21"/>
                <w:lang w:val="en-US" w:eastAsia="zh-CN"/>
              </w:rPr>
              <w:t>噪声</w:t>
            </w:r>
            <w:r>
              <w:rPr>
                <w:rFonts w:hint="eastAsia"/>
                <w:b/>
                <w:bCs/>
                <w:szCs w:val="21"/>
              </w:rPr>
              <w:t>环境影响和保护措施</w:t>
            </w:r>
          </w:p>
          <w:p>
            <w:pPr>
              <w:widowControl/>
              <w:spacing w:line="360" w:lineRule="auto"/>
              <w:ind w:firstLine="422" w:firstLineChars="200"/>
              <w:rPr>
                <w:rFonts w:hint="default"/>
                <w:b/>
                <w:bCs/>
                <w:szCs w:val="21"/>
                <w:lang w:val="en-US" w:eastAsia="zh-CN"/>
              </w:rPr>
            </w:pPr>
            <w:r>
              <w:rPr>
                <w:rFonts w:hint="eastAsia"/>
                <w:b/>
                <w:bCs/>
                <w:szCs w:val="21"/>
                <w:lang w:val="en-US" w:eastAsia="zh-CN"/>
              </w:rPr>
              <w:t>1、噪声防治措施</w:t>
            </w:r>
          </w:p>
          <w:p>
            <w:pPr>
              <w:widowControl/>
              <w:spacing w:line="360" w:lineRule="auto"/>
              <w:ind w:firstLine="420" w:firstLineChars="200"/>
              <w:rPr>
                <w:szCs w:val="21"/>
              </w:rPr>
            </w:pPr>
            <w:r>
              <w:rPr>
                <w:szCs w:val="21"/>
              </w:rPr>
              <w:t>针对不同类别的噪声，拟采取以下措施：</w:t>
            </w:r>
          </w:p>
          <w:p>
            <w:pPr>
              <w:widowControl/>
              <w:spacing w:line="360" w:lineRule="auto"/>
              <w:ind w:firstLine="420" w:firstLineChars="200"/>
              <w:rPr>
                <w:szCs w:val="21"/>
              </w:rPr>
            </w:pPr>
            <w:r>
              <w:rPr>
                <w:szCs w:val="21"/>
              </w:rPr>
              <w:t>（1）首先考虑选用低噪声设备，并按照工业设备安装的有关规范进行安装，在源头上控制噪声污染；</w:t>
            </w:r>
          </w:p>
          <w:p>
            <w:pPr>
              <w:widowControl/>
              <w:spacing w:line="360" w:lineRule="auto"/>
              <w:ind w:firstLine="420" w:firstLineChars="200"/>
              <w:rPr>
                <w:szCs w:val="21"/>
              </w:rPr>
            </w:pPr>
            <w:r>
              <w:rPr>
                <w:szCs w:val="21"/>
              </w:rPr>
              <w:t>（2）针对较大的设备噪声源，可通过对设备安装减振座、加设减振垫等方式来进行减振处理，同时通过</w:t>
            </w:r>
            <w:r>
              <w:rPr>
                <w:rFonts w:hint="eastAsia"/>
                <w:szCs w:val="21"/>
              </w:rPr>
              <w:t>墙体</w:t>
            </w:r>
            <w:r>
              <w:rPr>
                <w:szCs w:val="21"/>
              </w:rPr>
              <w:t>隔声可有效</w:t>
            </w:r>
            <w:r>
              <w:rPr>
                <w:rFonts w:hint="eastAsia"/>
                <w:szCs w:val="21"/>
                <w:lang w:eastAsia="zh-CN"/>
              </w:rPr>
              <w:t>地</w:t>
            </w:r>
            <w:r>
              <w:rPr>
                <w:szCs w:val="21"/>
              </w:rPr>
              <w:t>减轻设备噪声影响。</w:t>
            </w:r>
          </w:p>
          <w:p>
            <w:pPr>
              <w:widowControl/>
              <w:spacing w:line="360" w:lineRule="auto"/>
              <w:ind w:firstLine="420" w:firstLineChars="200"/>
              <w:rPr>
                <w:szCs w:val="21"/>
              </w:rPr>
            </w:pPr>
            <w:r>
              <w:rPr>
                <w:szCs w:val="21"/>
              </w:rPr>
              <w:t>（3）保持设备处于良好的运转状态，防止因设备运转不正常而增大噪声，要经常进行保养，加润滑油，减少</w:t>
            </w:r>
            <w:r>
              <w:rPr>
                <w:rFonts w:hint="eastAsia"/>
                <w:szCs w:val="21"/>
                <w:lang w:eastAsia="zh-CN"/>
              </w:rPr>
              <w:t>摩擦力</w:t>
            </w:r>
            <w:r>
              <w:rPr>
                <w:szCs w:val="21"/>
              </w:rPr>
              <w:t>，降低噪声。</w:t>
            </w:r>
          </w:p>
          <w:p>
            <w:pPr>
              <w:pStyle w:val="9"/>
              <w:numPr>
                <w:ilvl w:val="0"/>
                <w:numId w:val="0"/>
              </w:numPr>
              <w:spacing w:line="360" w:lineRule="auto"/>
              <w:ind w:firstLine="420" w:firstLineChars="200"/>
              <w:rPr>
                <w:szCs w:val="21"/>
              </w:rPr>
            </w:pPr>
            <w:r>
              <w:rPr>
                <w:szCs w:val="21"/>
              </w:rPr>
              <w:t>（4）结合绿化措施，在各生产装置、各功能区间以及厂界周围设绿化带，种植花草树木，以有效地起隔声和衰减噪声的作用。</w:t>
            </w:r>
          </w:p>
          <w:p>
            <w:pPr>
              <w:spacing w:line="360" w:lineRule="auto"/>
              <w:ind w:firstLine="422" w:firstLineChars="200"/>
              <w:rPr>
                <w:b/>
                <w:bCs/>
                <w:szCs w:val="21"/>
              </w:rPr>
            </w:pPr>
            <w:r>
              <w:rPr>
                <w:rFonts w:hint="eastAsia"/>
                <w:b/>
                <w:bCs/>
                <w:szCs w:val="21"/>
                <w:lang w:val="en-US" w:eastAsia="zh-CN"/>
              </w:rPr>
              <w:t>2</w:t>
            </w:r>
            <w:r>
              <w:rPr>
                <w:rFonts w:hint="eastAsia"/>
                <w:b/>
                <w:bCs/>
                <w:szCs w:val="21"/>
              </w:rPr>
              <w:t>、声环境影响分析</w:t>
            </w:r>
          </w:p>
          <w:p>
            <w:pPr>
              <w:spacing w:line="360" w:lineRule="auto"/>
              <w:ind w:firstLine="420" w:firstLineChars="200"/>
              <w:rPr>
                <w:szCs w:val="21"/>
              </w:rPr>
            </w:pPr>
            <w:r>
              <w:rPr>
                <w:szCs w:val="21"/>
              </w:rPr>
              <w:t>（1）预测内容</w:t>
            </w:r>
          </w:p>
          <w:p>
            <w:pPr>
              <w:spacing w:line="360" w:lineRule="auto"/>
              <w:ind w:firstLine="420" w:firstLineChars="200"/>
              <w:rPr>
                <w:szCs w:val="21"/>
              </w:rPr>
            </w:pPr>
            <w:r>
              <w:rPr>
                <w:szCs w:val="21"/>
              </w:rPr>
              <w:t>预测项目各噪声源在厂界各监测点的昼间噪声值（A声功率级）。</w:t>
            </w:r>
          </w:p>
          <w:p>
            <w:pPr>
              <w:spacing w:line="360" w:lineRule="auto"/>
              <w:ind w:firstLine="420" w:firstLineChars="200"/>
              <w:rPr>
                <w:szCs w:val="21"/>
              </w:rPr>
            </w:pPr>
            <w:r>
              <w:rPr>
                <w:szCs w:val="21"/>
              </w:rPr>
              <w:t>（2）预测方法</w:t>
            </w:r>
          </w:p>
          <w:p>
            <w:pPr>
              <w:spacing w:line="360" w:lineRule="auto"/>
              <w:ind w:firstLine="420" w:firstLineChars="200"/>
              <w:rPr>
                <w:szCs w:val="21"/>
              </w:rPr>
            </w:pPr>
            <w:r>
              <w:rPr>
                <w:szCs w:val="21"/>
              </w:rPr>
              <w:t>噪声预测采用HJ2.4-2021附录A.1工业噪声预测模式。</w:t>
            </w:r>
          </w:p>
          <w:p>
            <w:pPr>
              <w:spacing w:line="360" w:lineRule="auto"/>
              <w:ind w:firstLine="420" w:firstLineChars="200"/>
              <w:rPr>
                <w:szCs w:val="21"/>
              </w:rPr>
            </w:pPr>
            <w:r>
              <w:rPr>
                <w:szCs w:val="21"/>
              </w:rPr>
              <w:t>本项目设备声源分为室外和室内两种声源，故分别选用不同的模式进行计算。项目设备均安装于车间、站房内，属于室内点声源。</w:t>
            </w:r>
          </w:p>
          <w:p>
            <w:pPr>
              <w:spacing w:line="360" w:lineRule="auto"/>
              <w:ind w:firstLine="420" w:firstLineChars="200"/>
              <w:rPr>
                <w:szCs w:val="21"/>
              </w:rPr>
            </w:pPr>
            <w:r>
              <w:rPr>
                <w:szCs w:val="21"/>
              </w:rPr>
              <w:t>①室内点声源</w:t>
            </w:r>
          </w:p>
          <w:p>
            <w:pPr>
              <w:spacing w:line="360" w:lineRule="auto"/>
              <w:ind w:firstLine="420" w:firstLineChars="200"/>
              <w:rPr>
                <w:szCs w:val="21"/>
              </w:rPr>
            </w:pPr>
            <w:r>
              <w:rPr>
                <w:szCs w:val="21"/>
              </w:rPr>
              <w:t>室内声源采用等效室外声源声功率级法进行计算。先计算出某个室内靠近围护结构处产生的倍频带声压级：</w:t>
            </w:r>
          </w:p>
          <w:p>
            <w:pPr>
              <w:autoSpaceDE w:val="0"/>
              <w:autoSpaceDN w:val="0"/>
              <w:adjustRightInd w:val="0"/>
              <w:spacing w:line="360" w:lineRule="auto"/>
              <w:ind w:firstLine="420" w:firstLineChars="200"/>
              <w:jc w:val="center"/>
              <w:rPr>
                <w:szCs w:val="21"/>
                <w:lang w:val="zh-CN"/>
              </w:rPr>
            </w:pPr>
            <w:r>
              <w:rPr>
                <w:szCs w:val="21"/>
                <w:lang w:val="zh-CN"/>
              </w:rPr>
              <w:object>
                <v:shape id="_x0000_i1028" o:spt="75" type="#_x0000_t75" style="height:33.5pt;width:133.95pt;" o:ole="t" filled="f" o:preferrelative="t" stroked="f" coordsize="21600,21600">
                  <v:path/>
                  <v:fill on="f" focussize="0,0"/>
                  <v:stroke on="f" joinstyle="miter"/>
                  <v:imagedata r:id="rId18" o:title=""/>
                  <o:lock v:ext="edit" aspectratio="t"/>
                  <w10:wrap type="none"/>
                  <w10:anchorlock/>
                </v:shape>
                <o:OLEObject Type="Embed" ProgID="Msxml2.SAXXMLReader.5.0" ShapeID="_x0000_i1028" DrawAspect="Content" ObjectID="_1468075729" r:id="rId17">
                  <o:LockedField>false</o:LockedField>
                </o:OLEObject>
              </w:object>
            </w:r>
          </w:p>
          <w:p>
            <w:pPr>
              <w:spacing w:line="360" w:lineRule="auto"/>
              <w:ind w:firstLine="420" w:firstLineChars="200"/>
              <w:rPr>
                <w:szCs w:val="21"/>
              </w:rPr>
            </w:pPr>
            <w:r>
              <w:rPr>
                <w:szCs w:val="21"/>
              </w:rPr>
              <w:t>然后计算出所有室内声源在围护结构处产生的i倍频带叠加声压级：</w:t>
            </w:r>
          </w:p>
          <w:p>
            <w:pPr>
              <w:autoSpaceDE w:val="0"/>
              <w:autoSpaceDN w:val="0"/>
              <w:adjustRightInd w:val="0"/>
              <w:spacing w:line="360" w:lineRule="auto"/>
              <w:ind w:firstLine="420" w:firstLineChars="200"/>
              <w:jc w:val="center"/>
              <w:rPr>
                <w:szCs w:val="21"/>
              </w:rPr>
            </w:pPr>
            <w:r>
              <w:rPr>
                <w:szCs w:val="21"/>
                <w:lang w:val="zh-CN"/>
              </w:rPr>
              <w:drawing>
                <wp:inline distT="0" distB="0" distL="114300" distR="114300">
                  <wp:extent cx="1710055" cy="481965"/>
                  <wp:effectExtent l="0" t="0" r="4445" b="1397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9"/>
                          <a:stretch>
                            <a:fillRect/>
                          </a:stretch>
                        </pic:blipFill>
                        <pic:spPr>
                          <a:xfrm>
                            <a:off x="0" y="0"/>
                            <a:ext cx="1710055" cy="481965"/>
                          </a:xfrm>
                          <a:prstGeom prst="rect">
                            <a:avLst/>
                          </a:prstGeom>
                          <a:noFill/>
                          <a:ln w="9525">
                            <a:noFill/>
                          </a:ln>
                        </pic:spPr>
                      </pic:pic>
                    </a:graphicData>
                  </a:graphic>
                </wp:inline>
              </w:drawing>
            </w:r>
          </w:p>
          <w:p>
            <w:pPr>
              <w:spacing w:line="360" w:lineRule="auto"/>
              <w:ind w:firstLine="420" w:firstLineChars="200"/>
              <w:rPr>
                <w:szCs w:val="21"/>
              </w:rPr>
            </w:pPr>
            <w:r>
              <w:rPr>
                <w:szCs w:val="21"/>
              </w:rPr>
              <w:t>在室内近似为扩散声场时，按下式计算出靠近室外围护结构处的声压级：</w:t>
            </w:r>
          </w:p>
          <w:p>
            <w:pPr>
              <w:autoSpaceDE w:val="0"/>
              <w:autoSpaceDN w:val="0"/>
              <w:adjustRightInd w:val="0"/>
              <w:spacing w:line="360" w:lineRule="auto"/>
              <w:ind w:firstLine="420" w:firstLineChars="200"/>
              <w:jc w:val="center"/>
              <w:rPr>
                <w:szCs w:val="21"/>
              </w:rPr>
            </w:pPr>
            <w:r>
              <w:rPr>
                <w:szCs w:val="21"/>
                <w:lang w:val="zh-CN"/>
              </w:rPr>
              <w:drawing>
                <wp:inline distT="0" distB="0" distL="114300" distR="114300">
                  <wp:extent cx="1758950" cy="240665"/>
                  <wp:effectExtent l="0" t="0" r="12700" b="571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0"/>
                          <a:stretch>
                            <a:fillRect/>
                          </a:stretch>
                        </pic:blipFill>
                        <pic:spPr>
                          <a:xfrm>
                            <a:off x="0" y="0"/>
                            <a:ext cx="1758950" cy="240665"/>
                          </a:xfrm>
                          <a:prstGeom prst="rect">
                            <a:avLst/>
                          </a:prstGeom>
                          <a:noFill/>
                          <a:ln w="9525">
                            <a:noFill/>
                          </a:ln>
                        </pic:spPr>
                      </pic:pic>
                    </a:graphicData>
                  </a:graphic>
                </wp:inline>
              </w:drawing>
            </w:r>
          </w:p>
          <w:p>
            <w:pPr>
              <w:spacing w:line="360" w:lineRule="auto"/>
              <w:ind w:firstLine="420" w:firstLineChars="200"/>
              <w:rPr>
                <w:szCs w:val="21"/>
              </w:rPr>
            </w:pPr>
            <w:r>
              <w:rPr>
                <w:szCs w:val="21"/>
              </w:rPr>
              <w:t>将室外声源的声压级和透过面积换算成等效的室外声源，计算出中心位置位于透声面积处的等效声源的倍频带声功率级：</w:t>
            </w:r>
          </w:p>
          <w:p>
            <w:pPr>
              <w:autoSpaceDE w:val="0"/>
              <w:autoSpaceDN w:val="0"/>
              <w:adjustRightInd w:val="0"/>
              <w:spacing w:line="360" w:lineRule="auto"/>
              <w:ind w:firstLine="420" w:firstLineChars="200"/>
              <w:jc w:val="center"/>
              <w:rPr>
                <w:szCs w:val="21"/>
              </w:rPr>
            </w:pPr>
            <w:r>
              <w:rPr>
                <w:szCs w:val="21"/>
                <w:lang w:val="zh-CN"/>
              </w:rPr>
              <w:drawing>
                <wp:inline distT="0" distB="0" distL="114300" distR="114300">
                  <wp:extent cx="1319530" cy="240665"/>
                  <wp:effectExtent l="0" t="0" r="0"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21"/>
                          <a:stretch>
                            <a:fillRect/>
                          </a:stretch>
                        </pic:blipFill>
                        <pic:spPr>
                          <a:xfrm>
                            <a:off x="0" y="0"/>
                            <a:ext cx="1319530" cy="240665"/>
                          </a:xfrm>
                          <a:prstGeom prst="rect">
                            <a:avLst/>
                          </a:prstGeom>
                          <a:noFill/>
                          <a:ln w="9525">
                            <a:noFill/>
                          </a:ln>
                        </pic:spPr>
                      </pic:pic>
                    </a:graphicData>
                  </a:graphic>
                </wp:inline>
              </w:drawing>
            </w:r>
          </w:p>
          <w:p>
            <w:pPr>
              <w:spacing w:line="360" w:lineRule="auto"/>
              <w:ind w:firstLine="420" w:firstLineChars="200"/>
              <w:rPr>
                <w:szCs w:val="21"/>
              </w:rPr>
            </w:pPr>
            <w:r>
              <w:rPr>
                <w:szCs w:val="21"/>
              </w:rPr>
              <w:t>然后按室外声源预测方法计算预测点处的A声级。</w:t>
            </w:r>
          </w:p>
          <w:p>
            <w:pPr>
              <w:spacing w:line="360" w:lineRule="auto"/>
              <w:ind w:firstLine="420" w:firstLineChars="200"/>
              <w:rPr>
                <w:szCs w:val="21"/>
              </w:rPr>
            </w:pPr>
            <w:r>
              <w:rPr>
                <w:szCs w:val="21"/>
              </w:rPr>
              <w:t>②室外声源</w:t>
            </w:r>
          </w:p>
          <w:p>
            <w:pPr>
              <w:spacing w:line="360" w:lineRule="auto"/>
              <w:ind w:firstLine="420" w:firstLineChars="200"/>
              <w:rPr>
                <w:szCs w:val="21"/>
              </w:rPr>
            </w:pPr>
            <w:r>
              <w:rPr>
                <w:szCs w:val="21"/>
              </w:rPr>
              <w:t>在不能取得声源倍频带声功率级或倍频带声压级，只能获得A声功率级或某点的A声级时，可按下式作近似计算：</w:t>
            </w:r>
          </w:p>
          <w:p>
            <w:pPr>
              <w:spacing w:line="360" w:lineRule="auto"/>
              <w:ind w:firstLine="420" w:firstLineChars="200"/>
              <w:jc w:val="center"/>
              <w:rPr>
                <w:szCs w:val="21"/>
              </w:rPr>
            </w:pPr>
            <w:r>
              <w:rPr>
                <w:szCs w:val="21"/>
                <w:lang w:val="zh-CN"/>
              </w:rPr>
              <w:drawing>
                <wp:inline distT="0" distB="0" distL="114300" distR="114300">
                  <wp:extent cx="1270635" cy="213995"/>
                  <wp:effectExtent l="0" t="0" r="5715" b="1524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22"/>
                          <a:stretch>
                            <a:fillRect/>
                          </a:stretch>
                        </pic:blipFill>
                        <pic:spPr>
                          <a:xfrm>
                            <a:off x="0" y="0"/>
                            <a:ext cx="1270635" cy="213995"/>
                          </a:xfrm>
                          <a:prstGeom prst="rect">
                            <a:avLst/>
                          </a:prstGeom>
                          <a:noFill/>
                          <a:ln w="9525">
                            <a:noFill/>
                          </a:ln>
                        </pic:spPr>
                      </pic:pic>
                    </a:graphicData>
                  </a:graphic>
                </wp:inline>
              </w:drawing>
            </w:r>
          </w:p>
          <w:p>
            <w:pPr>
              <w:spacing w:line="360" w:lineRule="auto"/>
              <w:ind w:firstLine="420" w:firstLineChars="200"/>
              <w:jc w:val="center"/>
              <w:rPr>
                <w:szCs w:val="21"/>
              </w:rPr>
            </w:pPr>
            <w:r>
              <w:rPr>
                <w:szCs w:val="21"/>
                <w:lang w:val="zh-CN"/>
              </w:rPr>
              <w:drawing>
                <wp:inline distT="0" distB="0" distL="114300" distR="114300">
                  <wp:extent cx="1954530" cy="213995"/>
                  <wp:effectExtent l="0" t="0" r="7620" b="1524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23"/>
                          <a:stretch>
                            <a:fillRect/>
                          </a:stretch>
                        </pic:blipFill>
                        <pic:spPr>
                          <a:xfrm>
                            <a:off x="0" y="0"/>
                            <a:ext cx="1954530" cy="213995"/>
                          </a:xfrm>
                          <a:prstGeom prst="rect">
                            <a:avLst/>
                          </a:prstGeom>
                          <a:noFill/>
                          <a:ln w="9525">
                            <a:noFill/>
                          </a:ln>
                        </pic:spPr>
                      </pic:pic>
                    </a:graphicData>
                  </a:graphic>
                </wp:inline>
              </w:drawing>
            </w:r>
          </w:p>
          <w:p>
            <w:pPr>
              <w:spacing w:line="360" w:lineRule="auto"/>
              <w:ind w:firstLine="420" w:firstLineChars="200"/>
              <w:rPr>
                <w:szCs w:val="21"/>
              </w:rPr>
            </w:pPr>
            <w:r>
              <w:rPr>
                <w:szCs w:val="21"/>
              </w:rPr>
              <w:t>室外线源可分为若干线的分区，而每个线的分区可用处于中心位置的点声源表示。</w:t>
            </w:r>
          </w:p>
          <w:p>
            <w:pPr>
              <w:spacing w:line="360" w:lineRule="auto"/>
              <w:ind w:firstLine="420" w:firstLineChars="200"/>
              <w:rPr>
                <w:szCs w:val="21"/>
              </w:rPr>
            </w:pPr>
            <w:r>
              <w:rPr>
                <w:szCs w:val="21"/>
              </w:rPr>
              <w:t>③噪声贡献值计算</w:t>
            </w:r>
          </w:p>
          <w:p>
            <w:pPr>
              <w:spacing w:line="360" w:lineRule="auto"/>
              <w:ind w:firstLine="420" w:firstLineChars="200"/>
              <w:rPr>
                <w:szCs w:val="21"/>
              </w:rPr>
            </w:pPr>
            <w:r>
              <w:rPr>
                <w:szCs w:val="21"/>
              </w:rPr>
              <w:t>设第i个室外声源在预测点产生的A声级为LAi，在T时间内该声源工作时间为ti；第j个等效室外声源在预测点产生的A声级为LAj，在T时间内该声源工作时间为tj，则拟建工程声源对预测点产生的贡献值为：</w:t>
            </w:r>
          </w:p>
          <w:p>
            <w:pPr>
              <w:autoSpaceDE w:val="0"/>
              <w:autoSpaceDN w:val="0"/>
              <w:adjustRightInd w:val="0"/>
              <w:spacing w:line="360" w:lineRule="auto"/>
              <w:ind w:firstLine="420" w:firstLineChars="200"/>
              <w:jc w:val="center"/>
              <w:rPr>
                <w:szCs w:val="21"/>
              </w:rPr>
            </w:pPr>
            <w:r>
              <w:rPr>
                <w:szCs w:val="21"/>
                <w:lang w:val="zh-CN"/>
              </w:rPr>
              <w:drawing>
                <wp:inline distT="0" distB="0" distL="114300" distR="114300">
                  <wp:extent cx="2589530" cy="481965"/>
                  <wp:effectExtent l="0" t="0" r="1270" b="1333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24"/>
                          <a:stretch>
                            <a:fillRect/>
                          </a:stretch>
                        </pic:blipFill>
                        <pic:spPr>
                          <a:xfrm>
                            <a:off x="0" y="0"/>
                            <a:ext cx="2589530" cy="481965"/>
                          </a:xfrm>
                          <a:prstGeom prst="rect">
                            <a:avLst/>
                          </a:prstGeom>
                          <a:noFill/>
                          <a:ln w="9525">
                            <a:noFill/>
                          </a:ln>
                        </pic:spPr>
                      </pic:pic>
                    </a:graphicData>
                  </a:graphic>
                </wp:inline>
              </w:drawing>
            </w:r>
          </w:p>
          <w:p>
            <w:pPr>
              <w:spacing w:line="360" w:lineRule="auto"/>
              <w:ind w:firstLine="420" w:firstLineChars="200"/>
              <w:rPr>
                <w:szCs w:val="21"/>
              </w:rPr>
            </w:pPr>
            <w:r>
              <w:rPr>
                <w:szCs w:val="21"/>
              </w:rPr>
              <w:t>④预测值计算</w:t>
            </w:r>
          </w:p>
          <w:p>
            <w:pPr>
              <w:spacing w:line="360" w:lineRule="auto"/>
              <w:ind w:firstLine="420" w:firstLineChars="200"/>
              <w:rPr>
                <w:szCs w:val="21"/>
              </w:rPr>
            </w:pPr>
            <w:r>
              <w:rPr>
                <w:szCs w:val="21"/>
              </w:rPr>
              <w:t>预测点的预测等效声级为：</w:t>
            </w:r>
          </w:p>
          <w:p>
            <w:pPr>
              <w:autoSpaceDE w:val="0"/>
              <w:autoSpaceDN w:val="0"/>
              <w:adjustRightInd w:val="0"/>
              <w:spacing w:line="360" w:lineRule="auto"/>
              <w:ind w:firstLine="420" w:firstLineChars="200"/>
              <w:jc w:val="center"/>
              <w:rPr>
                <w:szCs w:val="21"/>
              </w:rPr>
            </w:pPr>
            <w:r>
              <w:rPr>
                <w:szCs w:val="21"/>
                <w:lang w:val="zh-CN"/>
              </w:rPr>
              <w:drawing>
                <wp:inline distT="0" distB="0" distL="114300" distR="114300">
                  <wp:extent cx="1758950" cy="294640"/>
                  <wp:effectExtent l="0" t="0" r="12700" b="1143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25"/>
                          <a:stretch>
                            <a:fillRect/>
                          </a:stretch>
                        </pic:blipFill>
                        <pic:spPr>
                          <a:xfrm>
                            <a:off x="0" y="0"/>
                            <a:ext cx="1758950" cy="294640"/>
                          </a:xfrm>
                          <a:prstGeom prst="rect">
                            <a:avLst/>
                          </a:prstGeom>
                          <a:noFill/>
                          <a:ln w="9525">
                            <a:noFill/>
                          </a:ln>
                        </pic:spPr>
                      </pic:pic>
                    </a:graphicData>
                  </a:graphic>
                </wp:inline>
              </w:drawing>
            </w:r>
          </w:p>
          <w:p>
            <w:pPr>
              <w:spacing w:line="360" w:lineRule="auto"/>
              <w:ind w:firstLine="420" w:firstLineChars="200"/>
              <w:rPr>
                <w:szCs w:val="21"/>
              </w:rPr>
            </w:pPr>
            <w:r>
              <w:rPr>
                <w:szCs w:val="21"/>
              </w:rPr>
              <w:t>上式中各符号的意义和单位见HJ2.4-2021。</w:t>
            </w:r>
          </w:p>
          <w:p>
            <w:pPr>
              <w:spacing w:line="360" w:lineRule="auto"/>
              <w:ind w:firstLine="420" w:firstLineChars="200"/>
              <w:rPr>
                <w:szCs w:val="21"/>
              </w:rPr>
            </w:pPr>
            <w:r>
              <w:rPr>
                <w:szCs w:val="21"/>
              </w:rPr>
              <w:t>（3）预测参数</w:t>
            </w:r>
          </w:p>
          <w:p>
            <w:pPr>
              <w:spacing w:line="360" w:lineRule="auto"/>
              <w:ind w:firstLine="420" w:firstLineChars="200"/>
              <w:rPr>
                <w:szCs w:val="21"/>
              </w:rPr>
            </w:pPr>
            <w:r>
              <w:rPr>
                <w:szCs w:val="21"/>
              </w:rPr>
              <w:t>主要的噪声源强及声源特性见表</w:t>
            </w:r>
            <w:r>
              <w:rPr>
                <w:rFonts w:hint="eastAsia"/>
                <w:szCs w:val="21"/>
              </w:rPr>
              <w:t>4-</w:t>
            </w:r>
            <w:r>
              <w:rPr>
                <w:rFonts w:hint="eastAsia"/>
                <w:szCs w:val="21"/>
                <w:lang w:val="en-US" w:eastAsia="zh-CN"/>
              </w:rPr>
              <w:t>19</w:t>
            </w:r>
            <w:r>
              <w:rPr>
                <w:rFonts w:hint="eastAsia"/>
                <w:szCs w:val="21"/>
                <w:lang w:eastAsia="zh-CN"/>
              </w:rPr>
              <w:t>、</w:t>
            </w:r>
            <w:r>
              <w:rPr>
                <w:rFonts w:hint="eastAsia"/>
                <w:szCs w:val="21"/>
                <w:lang w:val="en-US" w:eastAsia="zh-CN"/>
              </w:rPr>
              <w:t>4-20</w:t>
            </w:r>
            <w:r>
              <w:rPr>
                <w:szCs w:val="21"/>
              </w:rPr>
              <w:t>。</w:t>
            </w: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p>
            <w:pPr>
              <w:pStyle w:val="9"/>
              <w:numPr>
                <w:ilvl w:val="0"/>
                <w:numId w:val="0"/>
              </w:numPr>
              <w:spacing w:line="360" w:lineRule="auto"/>
            </w:pPr>
          </w:p>
        </w:tc>
      </w:tr>
    </w:tbl>
    <w:p>
      <w:pPr>
        <w:pStyle w:val="17"/>
        <w:jc w:val="center"/>
        <w:outlineLvl w:val="0"/>
        <w:rPr>
          <w:rFonts w:hint="eastAsia" w:ascii="黑体" w:hAnsi="黑体" w:eastAsia="黑体"/>
          <w:snapToGrid w:val="0"/>
          <w:sz w:val="30"/>
          <w:szCs w:val="30"/>
        </w:rPr>
      </w:pPr>
    </w:p>
    <w:p>
      <w:pPr>
        <w:pStyle w:val="17"/>
        <w:jc w:val="center"/>
        <w:outlineLvl w:val="0"/>
        <w:rPr>
          <w:rFonts w:hint="eastAsia" w:ascii="黑体" w:hAnsi="黑体" w:eastAsia="黑体"/>
          <w:snapToGrid w:val="0"/>
          <w:sz w:val="30"/>
          <w:szCs w:val="30"/>
        </w:rPr>
      </w:pPr>
    </w:p>
    <w:p>
      <w:pPr>
        <w:pStyle w:val="17"/>
        <w:jc w:val="center"/>
        <w:outlineLvl w:val="0"/>
        <w:rPr>
          <w:rFonts w:hint="eastAsia" w:ascii="黑体" w:hAnsi="黑体" w:eastAsia="黑体"/>
          <w:snapToGrid w:val="0"/>
          <w:sz w:val="30"/>
          <w:szCs w:val="30"/>
        </w:rPr>
        <w:sectPr>
          <w:pgSz w:w="11905" w:h="16838"/>
          <w:pgMar w:top="1701" w:right="1531" w:bottom="1701" w:left="1531" w:header="851" w:footer="850" w:gutter="0"/>
          <w:pgBorders>
            <w:top w:val="none" w:sz="0" w:space="0"/>
            <w:left w:val="none" w:sz="0" w:space="0"/>
            <w:bottom w:val="none" w:sz="0" w:space="0"/>
            <w:right w:val="none" w:sz="0" w:space="0"/>
          </w:pgBorders>
          <w:cols w:space="0" w:num="1"/>
          <w:rtlGutter w:val="0"/>
          <w:docGrid w:linePitch="312" w:charSpace="0"/>
        </w:sectPr>
      </w:pPr>
    </w:p>
    <w:tbl>
      <w:tblPr>
        <w:tblStyle w:val="21"/>
        <w:tblW w:w="1417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469"/>
        <w:gridCol w:w="137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trHeight w:val="6745" w:hRule="atLeast"/>
        </w:trPr>
        <w:tc>
          <w:tcPr>
            <w:tcW w:w="469" w:type="dxa"/>
            <w:noWrap w:val="0"/>
            <w:vAlign w:val="center"/>
          </w:tcPr>
          <w:p>
            <w:pPr>
              <w:widowControl/>
              <w:jc w:val="center"/>
              <w:rPr>
                <w:kern w:val="0"/>
                <w:szCs w:val="21"/>
                <w:lang w:bidi="ar"/>
              </w:rPr>
            </w:pPr>
            <w:r>
              <w:rPr>
                <w:kern w:val="0"/>
                <w:szCs w:val="21"/>
                <w:lang w:bidi="ar"/>
              </w:rPr>
              <w:t>运营</w:t>
            </w:r>
          </w:p>
          <w:p>
            <w:pPr>
              <w:widowControl/>
              <w:jc w:val="center"/>
              <w:rPr>
                <w:kern w:val="0"/>
                <w:szCs w:val="21"/>
                <w:lang w:bidi="ar"/>
              </w:rPr>
            </w:pPr>
            <w:r>
              <w:rPr>
                <w:kern w:val="0"/>
                <w:szCs w:val="21"/>
                <w:lang w:bidi="ar"/>
              </w:rPr>
              <w:t>期环</w:t>
            </w:r>
          </w:p>
          <w:p>
            <w:pPr>
              <w:widowControl/>
              <w:jc w:val="center"/>
              <w:rPr>
                <w:kern w:val="0"/>
                <w:szCs w:val="21"/>
                <w:lang w:bidi="ar"/>
              </w:rPr>
            </w:pPr>
            <w:r>
              <w:rPr>
                <w:kern w:val="0"/>
                <w:szCs w:val="21"/>
                <w:lang w:bidi="ar"/>
              </w:rPr>
              <w:t>境影</w:t>
            </w:r>
          </w:p>
          <w:p>
            <w:pPr>
              <w:widowControl/>
              <w:jc w:val="center"/>
              <w:rPr>
                <w:kern w:val="0"/>
                <w:szCs w:val="21"/>
                <w:lang w:bidi="ar"/>
              </w:rPr>
            </w:pPr>
            <w:r>
              <w:rPr>
                <w:kern w:val="0"/>
                <w:szCs w:val="21"/>
                <w:lang w:bidi="ar"/>
              </w:rPr>
              <w:t>响和</w:t>
            </w:r>
          </w:p>
          <w:p>
            <w:pPr>
              <w:widowControl/>
              <w:jc w:val="center"/>
              <w:rPr>
                <w:kern w:val="0"/>
                <w:szCs w:val="21"/>
                <w:lang w:bidi="ar"/>
              </w:rPr>
            </w:pPr>
            <w:r>
              <w:rPr>
                <w:kern w:val="0"/>
                <w:szCs w:val="21"/>
                <w:lang w:bidi="ar"/>
              </w:rPr>
              <w:t>保护</w:t>
            </w:r>
          </w:p>
          <w:p>
            <w:pPr>
              <w:jc w:val="center"/>
            </w:pPr>
            <w:r>
              <w:rPr>
                <w:kern w:val="0"/>
                <w:szCs w:val="21"/>
                <w:lang w:bidi="ar"/>
              </w:rPr>
              <w:t>措施</w:t>
            </w:r>
          </w:p>
        </w:tc>
        <w:tc>
          <w:tcPr>
            <w:tcW w:w="13705" w:type="dxa"/>
            <w:noWrap w:val="0"/>
            <w:vAlign w:val="top"/>
          </w:tcPr>
          <w:p>
            <w:pPr>
              <w:pStyle w:val="7"/>
              <w:spacing w:line="480" w:lineRule="exact"/>
              <w:jc w:val="center"/>
              <w:rPr>
                <w:rFonts w:ascii="Times New Roman" w:hAnsi="Times New Roman" w:eastAsia="宋体" w:cs="Times New Roman"/>
                <w:b/>
                <w:bCs/>
                <w:kern w:val="2"/>
                <w:sz w:val="18"/>
                <w:szCs w:val="18"/>
                <w:lang w:val="en-US" w:eastAsia="zh-CN" w:bidi="ar-SA"/>
              </w:rPr>
            </w:pPr>
            <w:r>
              <w:rPr>
                <w:rFonts w:ascii="Times New Roman" w:hAnsi="Times New Roman" w:eastAsia="宋体" w:cs="Times New Roman"/>
                <w:b/>
                <w:bCs/>
                <w:kern w:val="2"/>
                <w:sz w:val="18"/>
                <w:szCs w:val="18"/>
                <w:lang w:val="en-US" w:eastAsia="zh-CN" w:bidi="ar-SA"/>
              </w:rPr>
              <w:t>表4-19  本项目噪声源强调查清单（室内声源）</w:t>
            </w:r>
          </w:p>
          <w:tbl>
            <w:tblPr>
              <w:tblStyle w:val="21"/>
              <w:tblW w:w="13484"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20"/>
              <w:gridCol w:w="1376"/>
              <w:gridCol w:w="777"/>
              <w:gridCol w:w="1026"/>
              <w:gridCol w:w="918"/>
              <w:gridCol w:w="590"/>
              <w:gridCol w:w="620"/>
              <w:gridCol w:w="575"/>
              <w:gridCol w:w="472"/>
              <w:gridCol w:w="572"/>
              <w:gridCol w:w="426"/>
              <w:gridCol w:w="856"/>
              <w:gridCol w:w="901"/>
              <w:gridCol w:w="1007"/>
              <w:gridCol w:w="456"/>
              <w:gridCol w:w="672"/>
              <w:gridCol w:w="813"/>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restart"/>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序号</w:t>
                  </w:r>
                </w:p>
              </w:tc>
              <w:tc>
                <w:tcPr>
                  <w:tcW w:w="820" w:type="dxa"/>
                  <w:vMerge w:val="restart"/>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建筑物名称</w:t>
                  </w:r>
                </w:p>
              </w:tc>
              <w:tc>
                <w:tcPr>
                  <w:tcW w:w="1376" w:type="dxa"/>
                  <w:vMerge w:val="restart"/>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声源名称</w:t>
                  </w:r>
                </w:p>
              </w:tc>
              <w:tc>
                <w:tcPr>
                  <w:tcW w:w="777" w:type="dxa"/>
                  <w:vMerge w:val="restart"/>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数量/台（套）</w:t>
                  </w:r>
                </w:p>
              </w:tc>
              <w:tc>
                <w:tcPr>
                  <w:tcW w:w="1026" w:type="dxa"/>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单台设备声源声强</w:t>
                  </w:r>
                </w:p>
              </w:tc>
              <w:tc>
                <w:tcPr>
                  <w:tcW w:w="918" w:type="dxa"/>
                  <w:vMerge w:val="restart"/>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声源控制措施</w:t>
                  </w:r>
                </w:p>
              </w:tc>
              <w:tc>
                <w:tcPr>
                  <w:tcW w:w="1785" w:type="dxa"/>
                  <w:gridSpan w:val="3"/>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空间相对位置/m</w:t>
                  </w:r>
                </w:p>
              </w:tc>
              <w:tc>
                <w:tcPr>
                  <w:tcW w:w="1044" w:type="dxa"/>
                  <w:gridSpan w:val="2"/>
                  <w:vMerge w:val="restart"/>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距室内边界距离/m</w:t>
                  </w:r>
                </w:p>
              </w:tc>
              <w:tc>
                <w:tcPr>
                  <w:tcW w:w="1282" w:type="dxa"/>
                  <w:gridSpan w:val="2"/>
                  <w:vMerge w:val="restart"/>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室内边界声级/dB(A)</w:t>
                  </w:r>
                </w:p>
              </w:tc>
              <w:tc>
                <w:tcPr>
                  <w:tcW w:w="901" w:type="dxa"/>
                  <w:vMerge w:val="restart"/>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运行</w:t>
                  </w:r>
                </w:p>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时段</w:t>
                  </w:r>
                </w:p>
              </w:tc>
              <w:tc>
                <w:tcPr>
                  <w:tcW w:w="1007" w:type="dxa"/>
                  <w:vMerge w:val="restart"/>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建筑物插入损失dB(A)</w:t>
                  </w:r>
                </w:p>
              </w:tc>
              <w:tc>
                <w:tcPr>
                  <w:tcW w:w="1941" w:type="dxa"/>
                  <w:gridSpan w:val="3"/>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建筑物外噪声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continue"/>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p>
              </w:tc>
              <w:tc>
                <w:tcPr>
                  <w:tcW w:w="820" w:type="dxa"/>
                  <w:vMerge w:val="continue"/>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p>
              </w:tc>
              <w:tc>
                <w:tcPr>
                  <w:tcW w:w="1376" w:type="dxa"/>
                  <w:vMerge w:val="continue"/>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p>
              </w:tc>
              <w:tc>
                <w:tcPr>
                  <w:tcW w:w="777" w:type="dxa"/>
                  <w:vMerge w:val="continue"/>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p>
              </w:tc>
              <w:tc>
                <w:tcPr>
                  <w:tcW w:w="1026" w:type="dxa"/>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声功率级/dB(A)</w:t>
                  </w:r>
                </w:p>
              </w:tc>
              <w:tc>
                <w:tcPr>
                  <w:tcW w:w="918" w:type="dxa"/>
                  <w:vMerge w:val="continue"/>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p>
              </w:tc>
              <w:tc>
                <w:tcPr>
                  <w:tcW w:w="590" w:type="dxa"/>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X</w:t>
                  </w:r>
                </w:p>
              </w:tc>
              <w:tc>
                <w:tcPr>
                  <w:tcW w:w="620" w:type="dxa"/>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Y</w:t>
                  </w:r>
                </w:p>
              </w:tc>
              <w:tc>
                <w:tcPr>
                  <w:tcW w:w="575" w:type="dxa"/>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Z</w:t>
                  </w:r>
                </w:p>
              </w:tc>
              <w:tc>
                <w:tcPr>
                  <w:tcW w:w="1044" w:type="dxa"/>
                  <w:gridSpan w:val="2"/>
                  <w:vMerge w:val="continue"/>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p>
              </w:tc>
              <w:tc>
                <w:tcPr>
                  <w:tcW w:w="1282" w:type="dxa"/>
                  <w:gridSpan w:val="2"/>
                  <w:vMerge w:val="continue"/>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p>
              </w:tc>
              <w:tc>
                <w:tcPr>
                  <w:tcW w:w="901" w:type="dxa"/>
                  <w:vMerge w:val="continue"/>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p>
              </w:tc>
              <w:tc>
                <w:tcPr>
                  <w:tcW w:w="1007" w:type="dxa"/>
                  <w:vMerge w:val="continue"/>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p>
              </w:tc>
              <w:tc>
                <w:tcPr>
                  <w:tcW w:w="1128" w:type="dxa"/>
                  <w:gridSpan w:val="2"/>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声压级/dB(A)</w:t>
                  </w:r>
                </w:p>
              </w:tc>
              <w:tc>
                <w:tcPr>
                  <w:tcW w:w="813" w:type="dxa"/>
                  <w:noWrap w:val="0"/>
                  <w:vAlign w:val="center"/>
                </w:tcPr>
                <w:p>
                  <w:pPr>
                    <w:pStyle w:val="17"/>
                    <w:spacing w:before="0" w:beforeAutospacing="0" w:after="0" w:afterAutospacing="0"/>
                    <w:jc w:val="center"/>
                    <w:outlineLvl w:val="0"/>
                    <w:rPr>
                      <w:rFonts w:ascii="Times New Roman" w:hAnsi="Times New Roman"/>
                      <w:b/>
                      <w:bCs/>
                      <w:snapToGrid w:val="0"/>
                      <w:color w:val="000000" w:themeColor="text1"/>
                      <w:sz w:val="18"/>
                      <w:szCs w:val="18"/>
                      <w14:textFill>
                        <w14:solidFill>
                          <w14:schemeClr w14:val="tx1"/>
                        </w14:solidFill>
                      </w14:textFill>
                    </w:rPr>
                  </w:pPr>
                  <w:r>
                    <w:rPr>
                      <w:rFonts w:ascii="Times New Roman" w:hAnsi="Times New Roman"/>
                      <w:b/>
                      <w:bCs/>
                      <w:snapToGrid w:val="0"/>
                      <w:color w:val="000000" w:themeColor="text1"/>
                      <w:sz w:val="18"/>
                      <w:szCs w:val="18"/>
                      <w14:textFill>
                        <w14:solidFill>
                          <w14:schemeClr w14:val="tx1"/>
                        </w14:solidFill>
                      </w14:textFill>
                    </w:rPr>
                    <w:t>建筑物外距离</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restart"/>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1</w:t>
                  </w:r>
                </w:p>
              </w:tc>
              <w:tc>
                <w:tcPr>
                  <w:tcW w:w="820" w:type="dxa"/>
                  <w:vMerge w:val="restart"/>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生产</w:t>
                  </w:r>
                </w:p>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车间</w:t>
                  </w:r>
                </w:p>
              </w:tc>
              <w:tc>
                <w:tcPr>
                  <w:tcW w:w="1376" w:type="dxa"/>
                  <w:vMerge w:val="restart"/>
                  <w:noWrap w:val="0"/>
                  <w:vAlign w:val="center"/>
                </w:tcPr>
                <w:p>
                  <w:pPr>
                    <w:widowControl/>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高低压吹膜机</w:t>
                  </w:r>
                </w:p>
              </w:tc>
              <w:tc>
                <w:tcPr>
                  <w:tcW w:w="777" w:type="dxa"/>
                  <w:vMerge w:val="restart"/>
                  <w:noWrap w:val="0"/>
                  <w:vAlign w:val="center"/>
                </w:tcPr>
                <w:p>
                  <w:pPr>
                    <w:widowControl/>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w:t>
                  </w:r>
                </w:p>
              </w:tc>
              <w:tc>
                <w:tcPr>
                  <w:tcW w:w="1026" w:type="dxa"/>
                  <w:vMerge w:val="restart"/>
                  <w:noWrap w:val="0"/>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85</w:t>
                  </w:r>
                </w:p>
              </w:tc>
              <w:tc>
                <w:tcPr>
                  <w:tcW w:w="918" w:type="dxa"/>
                  <w:vMerge w:val="restart"/>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墙体隔声、距离衰减、声源置于车间内</w:t>
                  </w:r>
                </w:p>
              </w:tc>
              <w:tc>
                <w:tcPr>
                  <w:tcW w:w="590" w:type="dxa"/>
                  <w:vMerge w:val="restart"/>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3</w:t>
                  </w:r>
                </w:p>
              </w:tc>
              <w:tc>
                <w:tcPr>
                  <w:tcW w:w="620" w:type="dxa"/>
                  <w:vMerge w:val="restart"/>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3</w:t>
                  </w:r>
                </w:p>
              </w:tc>
              <w:tc>
                <w:tcPr>
                  <w:tcW w:w="575" w:type="dxa"/>
                  <w:vMerge w:val="restart"/>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1</w:t>
                  </w: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东</w:t>
                  </w:r>
                </w:p>
              </w:tc>
              <w:tc>
                <w:tcPr>
                  <w:tcW w:w="572" w:type="dxa"/>
                  <w:noWrap w:val="0"/>
                  <w:vAlign w:val="center"/>
                </w:tcPr>
                <w:p>
                  <w:pPr>
                    <w:pStyle w:val="17"/>
                    <w:spacing w:before="0" w:beforeAutospacing="0" w:after="0" w:afterAutospacing="0"/>
                    <w:jc w:val="center"/>
                    <w:outlineLvl w:val="0"/>
                    <w:rPr>
                      <w:rFonts w:hint="default"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17</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东</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68.4</w:t>
                  </w:r>
                </w:p>
              </w:tc>
              <w:tc>
                <w:tcPr>
                  <w:tcW w:w="901" w:type="dxa"/>
                  <w:vMerge w:val="restart"/>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8</w:t>
                  </w:r>
                  <w:r>
                    <w:rPr>
                      <w:rFonts w:ascii="Times New Roman" w:hAnsi="Times New Roman"/>
                      <w:snapToGrid w:val="0"/>
                      <w:color w:val="000000" w:themeColor="text1"/>
                      <w:sz w:val="18"/>
                      <w:szCs w:val="18"/>
                      <w14:textFill>
                        <w14:solidFill>
                          <w14:schemeClr w14:val="tx1"/>
                        </w14:solidFill>
                      </w14:textFill>
                    </w:rPr>
                    <w:t>:00-</w:t>
                  </w:r>
                </w:p>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17:00</w:t>
                  </w:r>
                </w:p>
              </w:tc>
              <w:tc>
                <w:tcPr>
                  <w:tcW w:w="1007" w:type="dxa"/>
                  <w:vMerge w:val="restart"/>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25</w:t>
                  </w: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东</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25.4</w:t>
                  </w:r>
                </w:p>
              </w:tc>
              <w:tc>
                <w:tcPr>
                  <w:tcW w:w="813" w:type="dxa"/>
                  <w:vMerge w:val="restart"/>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continue"/>
                  <w:noWrap w:val="0"/>
                  <w:vAlign w:val="center"/>
                </w:tcPr>
                <w:p>
                  <w:pPr>
                    <w:widowControl/>
                    <w:jc w:val="center"/>
                    <w:rPr>
                      <w:color w:val="000000" w:themeColor="text1"/>
                      <w:sz w:val="18"/>
                      <w:szCs w:val="18"/>
                      <w14:textFill>
                        <w14:solidFill>
                          <w14:schemeClr w14:val="tx1"/>
                        </w14:solidFill>
                      </w14:textFill>
                    </w:rPr>
                  </w:pPr>
                </w:p>
              </w:tc>
              <w:tc>
                <w:tcPr>
                  <w:tcW w:w="777" w:type="dxa"/>
                  <w:vMerge w:val="continue"/>
                  <w:noWrap w:val="0"/>
                  <w:vAlign w:val="center"/>
                </w:tcPr>
                <w:p>
                  <w:pPr>
                    <w:widowControl/>
                    <w:jc w:val="center"/>
                    <w:rPr>
                      <w:color w:val="000000" w:themeColor="text1"/>
                      <w:sz w:val="18"/>
                      <w:szCs w:val="18"/>
                      <w14:textFill>
                        <w14:solidFill>
                          <w14:schemeClr w14:val="tx1"/>
                        </w14:solidFill>
                      </w14:textFill>
                    </w:rPr>
                  </w:pPr>
                </w:p>
              </w:tc>
              <w:tc>
                <w:tcPr>
                  <w:tcW w:w="1026" w:type="dxa"/>
                  <w:vMerge w:val="continue"/>
                  <w:noWrap w:val="0"/>
                  <w:vAlign w:val="center"/>
                </w:tcPr>
                <w:p>
                  <w:pPr>
                    <w:jc w:val="center"/>
                    <w:rPr>
                      <w:color w:val="000000" w:themeColor="text1"/>
                      <w:sz w:val="18"/>
                      <w:szCs w:val="18"/>
                      <w14:textFill>
                        <w14:solidFill>
                          <w14:schemeClr w14:val="tx1"/>
                        </w14:solidFill>
                      </w14:textFill>
                    </w:rPr>
                  </w:pP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6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75"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南</w:t>
                  </w:r>
                </w:p>
              </w:tc>
              <w:tc>
                <w:tcPr>
                  <w:tcW w:w="572" w:type="dxa"/>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3</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南</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70.9</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南</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3.5</w:t>
                  </w:r>
                </w:p>
              </w:tc>
              <w:tc>
                <w:tcPr>
                  <w:tcW w:w="813"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continue"/>
                  <w:noWrap w:val="0"/>
                  <w:vAlign w:val="center"/>
                </w:tcPr>
                <w:p>
                  <w:pPr>
                    <w:widowControl/>
                    <w:jc w:val="center"/>
                    <w:rPr>
                      <w:color w:val="000000" w:themeColor="text1"/>
                      <w:sz w:val="18"/>
                      <w:szCs w:val="18"/>
                      <w14:textFill>
                        <w14:solidFill>
                          <w14:schemeClr w14:val="tx1"/>
                        </w14:solidFill>
                      </w14:textFill>
                    </w:rPr>
                  </w:pPr>
                </w:p>
              </w:tc>
              <w:tc>
                <w:tcPr>
                  <w:tcW w:w="777" w:type="dxa"/>
                  <w:vMerge w:val="continue"/>
                  <w:noWrap w:val="0"/>
                  <w:vAlign w:val="center"/>
                </w:tcPr>
                <w:p>
                  <w:pPr>
                    <w:widowControl/>
                    <w:jc w:val="center"/>
                    <w:rPr>
                      <w:color w:val="000000" w:themeColor="text1"/>
                      <w:sz w:val="18"/>
                      <w:szCs w:val="18"/>
                      <w14:textFill>
                        <w14:solidFill>
                          <w14:schemeClr w14:val="tx1"/>
                        </w14:solidFill>
                      </w14:textFill>
                    </w:rPr>
                  </w:pPr>
                </w:p>
              </w:tc>
              <w:tc>
                <w:tcPr>
                  <w:tcW w:w="1026" w:type="dxa"/>
                  <w:vMerge w:val="continue"/>
                  <w:noWrap w:val="0"/>
                  <w:vAlign w:val="center"/>
                </w:tcPr>
                <w:p>
                  <w:pPr>
                    <w:jc w:val="center"/>
                    <w:rPr>
                      <w:color w:val="000000" w:themeColor="text1"/>
                      <w:sz w:val="18"/>
                      <w:szCs w:val="18"/>
                      <w14:textFill>
                        <w14:solidFill>
                          <w14:schemeClr w14:val="tx1"/>
                        </w14:solidFill>
                      </w14:textFill>
                    </w:rPr>
                  </w:pP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6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75"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西</w:t>
                  </w:r>
                </w:p>
              </w:tc>
              <w:tc>
                <w:tcPr>
                  <w:tcW w:w="572" w:type="dxa"/>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3</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西</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70.9</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西</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7.3</w:t>
                  </w:r>
                </w:p>
              </w:tc>
              <w:tc>
                <w:tcPr>
                  <w:tcW w:w="813"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continue"/>
                  <w:noWrap w:val="0"/>
                  <w:vAlign w:val="center"/>
                </w:tcPr>
                <w:p>
                  <w:pPr>
                    <w:widowControl/>
                    <w:jc w:val="center"/>
                    <w:rPr>
                      <w:color w:val="000000" w:themeColor="text1"/>
                      <w:sz w:val="18"/>
                      <w:szCs w:val="18"/>
                      <w14:textFill>
                        <w14:solidFill>
                          <w14:schemeClr w14:val="tx1"/>
                        </w14:solidFill>
                      </w14:textFill>
                    </w:rPr>
                  </w:pPr>
                </w:p>
              </w:tc>
              <w:tc>
                <w:tcPr>
                  <w:tcW w:w="777" w:type="dxa"/>
                  <w:vMerge w:val="continue"/>
                  <w:noWrap w:val="0"/>
                  <w:vAlign w:val="center"/>
                </w:tcPr>
                <w:p>
                  <w:pPr>
                    <w:widowControl/>
                    <w:jc w:val="center"/>
                    <w:rPr>
                      <w:color w:val="000000" w:themeColor="text1"/>
                      <w:sz w:val="18"/>
                      <w:szCs w:val="18"/>
                      <w14:textFill>
                        <w14:solidFill>
                          <w14:schemeClr w14:val="tx1"/>
                        </w14:solidFill>
                      </w14:textFill>
                    </w:rPr>
                  </w:pPr>
                </w:p>
              </w:tc>
              <w:tc>
                <w:tcPr>
                  <w:tcW w:w="1026" w:type="dxa"/>
                  <w:vMerge w:val="continue"/>
                  <w:noWrap w:val="0"/>
                  <w:vAlign w:val="center"/>
                </w:tcPr>
                <w:p>
                  <w:pPr>
                    <w:jc w:val="center"/>
                    <w:rPr>
                      <w:color w:val="000000" w:themeColor="text1"/>
                      <w:sz w:val="18"/>
                      <w:szCs w:val="18"/>
                      <w14:textFill>
                        <w14:solidFill>
                          <w14:schemeClr w14:val="tx1"/>
                        </w14:solidFill>
                      </w14:textFill>
                    </w:rPr>
                  </w:pP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6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75"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北</w:t>
                  </w:r>
                </w:p>
              </w:tc>
              <w:tc>
                <w:tcPr>
                  <w:tcW w:w="572" w:type="dxa"/>
                  <w:noWrap w:val="0"/>
                  <w:vAlign w:val="center"/>
                </w:tcPr>
                <w:p>
                  <w:pPr>
                    <w:pStyle w:val="17"/>
                    <w:spacing w:before="0" w:beforeAutospacing="0" w:after="0" w:afterAutospacing="0"/>
                    <w:jc w:val="center"/>
                    <w:outlineLvl w:val="0"/>
                    <w:rPr>
                      <w:rFonts w:hint="default"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11</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北</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68.6</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北</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4.3</w:t>
                  </w:r>
                </w:p>
              </w:tc>
              <w:tc>
                <w:tcPr>
                  <w:tcW w:w="813"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restart"/>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2</w:t>
                  </w: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restart"/>
                  <w:noWrap w:val="0"/>
                  <w:vAlign w:val="center"/>
                </w:tcPr>
                <w:p>
                  <w:pPr>
                    <w:widowControl/>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制袋机</w:t>
                  </w:r>
                </w:p>
              </w:tc>
              <w:tc>
                <w:tcPr>
                  <w:tcW w:w="777" w:type="dxa"/>
                  <w:vMerge w:val="restart"/>
                  <w:noWrap w:val="0"/>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w:t>
                  </w:r>
                </w:p>
              </w:tc>
              <w:tc>
                <w:tcPr>
                  <w:tcW w:w="1026" w:type="dxa"/>
                  <w:vMerge w:val="restart"/>
                  <w:noWrap w:val="0"/>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80</w:t>
                  </w: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restart"/>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6</w:t>
                  </w:r>
                </w:p>
              </w:tc>
              <w:tc>
                <w:tcPr>
                  <w:tcW w:w="620" w:type="dxa"/>
                  <w:vMerge w:val="restart"/>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7</w:t>
                  </w:r>
                </w:p>
              </w:tc>
              <w:tc>
                <w:tcPr>
                  <w:tcW w:w="575" w:type="dxa"/>
                  <w:vMerge w:val="restart"/>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1</w:t>
                  </w: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东</w:t>
                  </w:r>
                </w:p>
              </w:tc>
              <w:tc>
                <w:tcPr>
                  <w:tcW w:w="572" w:type="dxa"/>
                  <w:noWrap w:val="0"/>
                  <w:vAlign w:val="center"/>
                </w:tcPr>
                <w:p>
                  <w:pPr>
                    <w:pStyle w:val="17"/>
                    <w:spacing w:before="0" w:beforeAutospacing="0" w:after="0" w:afterAutospacing="0"/>
                    <w:jc w:val="center"/>
                    <w:outlineLvl w:val="0"/>
                    <w:rPr>
                      <w:rFonts w:hint="default"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14</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东</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63.5</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restart"/>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25</w:t>
                  </w: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东</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20.4</w:t>
                  </w:r>
                </w:p>
              </w:tc>
              <w:tc>
                <w:tcPr>
                  <w:tcW w:w="813" w:type="dxa"/>
                  <w:vMerge w:val="restart"/>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continue"/>
                  <w:noWrap w:val="0"/>
                  <w:vAlign w:val="center"/>
                </w:tcPr>
                <w:p>
                  <w:pPr>
                    <w:widowControl/>
                    <w:jc w:val="center"/>
                    <w:rPr>
                      <w:color w:val="000000" w:themeColor="text1"/>
                      <w:sz w:val="18"/>
                      <w:szCs w:val="18"/>
                      <w14:textFill>
                        <w14:solidFill>
                          <w14:schemeClr w14:val="tx1"/>
                        </w14:solidFill>
                      </w14:textFill>
                    </w:rPr>
                  </w:pPr>
                </w:p>
              </w:tc>
              <w:tc>
                <w:tcPr>
                  <w:tcW w:w="777" w:type="dxa"/>
                  <w:vMerge w:val="continue"/>
                  <w:noWrap w:val="0"/>
                  <w:vAlign w:val="center"/>
                </w:tcPr>
                <w:p>
                  <w:pPr>
                    <w:jc w:val="center"/>
                    <w:rPr>
                      <w:color w:val="000000" w:themeColor="text1"/>
                      <w:sz w:val="18"/>
                      <w:szCs w:val="18"/>
                      <w14:textFill>
                        <w14:solidFill>
                          <w14:schemeClr w14:val="tx1"/>
                        </w14:solidFill>
                      </w14:textFill>
                    </w:rPr>
                  </w:pPr>
                </w:p>
              </w:tc>
              <w:tc>
                <w:tcPr>
                  <w:tcW w:w="1026" w:type="dxa"/>
                  <w:vMerge w:val="continue"/>
                  <w:noWrap w:val="0"/>
                  <w:vAlign w:val="center"/>
                </w:tcPr>
                <w:p>
                  <w:pPr>
                    <w:jc w:val="center"/>
                    <w:rPr>
                      <w:color w:val="000000" w:themeColor="text1"/>
                      <w:sz w:val="18"/>
                      <w:szCs w:val="18"/>
                      <w14:textFill>
                        <w14:solidFill>
                          <w14:schemeClr w14:val="tx1"/>
                        </w14:solidFill>
                      </w14:textFill>
                    </w:rPr>
                  </w:pP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6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75"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南</w:t>
                  </w:r>
                </w:p>
              </w:tc>
              <w:tc>
                <w:tcPr>
                  <w:tcW w:w="572" w:type="dxa"/>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7</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南</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63.9</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南</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-3.5</w:t>
                  </w:r>
                </w:p>
              </w:tc>
              <w:tc>
                <w:tcPr>
                  <w:tcW w:w="813"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continue"/>
                  <w:noWrap w:val="0"/>
                  <w:vAlign w:val="center"/>
                </w:tcPr>
                <w:p>
                  <w:pPr>
                    <w:widowControl/>
                    <w:jc w:val="center"/>
                    <w:rPr>
                      <w:color w:val="000000" w:themeColor="text1"/>
                      <w:sz w:val="18"/>
                      <w:szCs w:val="18"/>
                      <w14:textFill>
                        <w14:solidFill>
                          <w14:schemeClr w14:val="tx1"/>
                        </w14:solidFill>
                      </w14:textFill>
                    </w:rPr>
                  </w:pPr>
                </w:p>
              </w:tc>
              <w:tc>
                <w:tcPr>
                  <w:tcW w:w="777" w:type="dxa"/>
                  <w:vMerge w:val="continue"/>
                  <w:noWrap w:val="0"/>
                  <w:vAlign w:val="center"/>
                </w:tcPr>
                <w:p>
                  <w:pPr>
                    <w:jc w:val="center"/>
                    <w:rPr>
                      <w:color w:val="000000" w:themeColor="text1"/>
                      <w:sz w:val="18"/>
                      <w:szCs w:val="18"/>
                      <w14:textFill>
                        <w14:solidFill>
                          <w14:schemeClr w14:val="tx1"/>
                        </w14:solidFill>
                      </w14:textFill>
                    </w:rPr>
                  </w:pPr>
                </w:p>
              </w:tc>
              <w:tc>
                <w:tcPr>
                  <w:tcW w:w="1026" w:type="dxa"/>
                  <w:vMerge w:val="continue"/>
                  <w:noWrap w:val="0"/>
                  <w:vAlign w:val="center"/>
                </w:tcPr>
                <w:p>
                  <w:pPr>
                    <w:jc w:val="center"/>
                    <w:rPr>
                      <w:color w:val="000000" w:themeColor="text1"/>
                      <w:sz w:val="18"/>
                      <w:szCs w:val="18"/>
                      <w14:textFill>
                        <w14:solidFill>
                          <w14:schemeClr w14:val="tx1"/>
                        </w14:solidFill>
                      </w14:textFill>
                    </w:rPr>
                  </w:pP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6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75"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西</w:t>
                  </w:r>
                </w:p>
              </w:tc>
              <w:tc>
                <w:tcPr>
                  <w:tcW w:w="572" w:type="dxa"/>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6</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西</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64.1</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西</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0.5</w:t>
                  </w:r>
                </w:p>
              </w:tc>
              <w:tc>
                <w:tcPr>
                  <w:tcW w:w="813"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continue"/>
                  <w:noWrap w:val="0"/>
                  <w:vAlign w:val="center"/>
                </w:tcPr>
                <w:p>
                  <w:pPr>
                    <w:widowControl/>
                    <w:jc w:val="center"/>
                    <w:rPr>
                      <w:color w:val="000000" w:themeColor="text1"/>
                      <w:sz w:val="18"/>
                      <w:szCs w:val="18"/>
                      <w14:textFill>
                        <w14:solidFill>
                          <w14:schemeClr w14:val="tx1"/>
                        </w14:solidFill>
                      </w14:textFill>
                    </w:rPr>
                  </w:pPr>
                </w:p>
              </w:tc>
              <w:tc>
                <w:tcPr>
                  <w:tcW w:w="777" w:type="dxa"/>
                  <w:vMerge w:val="continue"/>
                  <w:noWrap w:val="0"/>
                  <w:vAlign w:val="center"/>
                </w:tcPr>
                <w:p>
                  <w:pPr>
                    <w:jc w:val="center"/>
                    <w:rPr>
                      <w:color w:val="000000" w:themeColor="text1"/>
                      <w:sz w:val="18"/>
                      <w:szCs w:val="18"/>
                      <w14:textFill>
                        <w14:solidFill>
                          <w14:schemeClr w14:val="tx1"/>
                        </w14:solidFill>
                      </w14:textFill>
                    </w:rPr>
                  </w:pPr>
                </w:p>
              </w:tc>
              <w:tc>
                <w:tcPr>
                  <w:tcW w:w="1026" w:type="dxa"/>
                  <w:vMerge w:val="continue"/>
                  <w:noWrap w:val="0"/>
                  <w:vAlign w:val="center"/>
                </w:tcPr>
                <w:p>
                  <w:pPr>
                    <w:jc w:val="center"/>
                    <w:rPr>
                      <w:color w:val="000000" w:themeColor="text1"/>
                      <w:sz w:val="18"/>
                      <w:szCs w:val="18"/>
                      <w14:textFill>
                        <w14:solidFill>
                          <w14:schemeClr w14:val="tx1"/>
                        </w14:solidFill>
                      </w14:textFill>
                    </w:rPr>
                  </w:pP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6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75"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北</w:t>
                  </w:r>
                </w:p>
              </w:tc>
              <w:tc>
                <w:tcPr>
                  <w:tcW w:w="572" w:type="dxa"/>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3</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北</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65.9</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北</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1.7</w:t>
                  </w:r>
                </w:p>
              </w:tc>
              <w:tc>
                <w:tcPr>
                  <w:tcW w:w="813"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restart"/>
                  <w:noWrap w:val="0"/>
                  <w:vAlign w:val="center"/>
                </w:tcPr>
                <w:p>
                  <w:pPr>
                    <w:pStyle w:val="17"/>
                    <w:spacing w:before="0" w:beforeAutospacing="0" w:after="0" w:afterAutospacing="0"/>
                    <w:jc w:val="center"/>
                    <w:outlineLvl w:val="0"/>
                    <w:rPr>
                      <w:rFonts w:hint="eastAsia" w:ascii="Times New Roman" w:hAnsi="Times New Roman"/>
                      <w:snapToGrid w:val="0"/>
                      <w:color w:val="000000" w:themeColor="text1"/>
                      <w:sz w:val="18"/>
                      <w:szCs w:val="18"/>
                      <w14:textFill>
                        <w14:solidFill>
                          <w14:schemeClr w14:val="tx1"/>
                        </w14:solidFill>
                      </w14:textFill>
                    </w:rPr>
                  </w:pPr>
                  <w:r>
                    <w:rPr>
                      <w:rFonts w:hint="eastAsia" w:ascii="Times New Roman" w:hAnsi="Times New Roman"/>
                      <w:snapToGrid w:val="0"/>
                      <w:color w:val="000000" w:themeColor="text1"/>
                      <w:sz w:val="18"/>
                      <w:szCs w:val="18"/>
                      <w14:textFill>
                        <w14:solidFill>
                          <w14:schemeClr w14:val="tx1"/>
                        </w14:solidFill>
                      </w14:textFill>
                    </w:rPr>
                    <w:t>3</w:t>
                  </w: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restart"/>
                  <w:noWrap w:val="0"/>
                  <w:vAlign w:val="center"/>
                </w:tcPr>
                <w:p>
                  <w:pPr>
                    <w:widowControl/>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混料机</w:t>
                  </w:r>
                </w:p>
              </w:tc>
              <w:tc>
                <w:tcPr>
                  <w:tcW w:w="777" w:type="dxa"/>
                  <w:vMerge w:val="restart"/>
                  <w:noWrap w:val="0"/>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026" w:type="dxa"/>
                  <w:vMerge w:val="restart"/>
                  <w:noWrap w:val="0"/>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85</w:t>
                  </w: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restart"/>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3</w:t>
                  </w:r>
                </w:p>
              </w:tc>
              <w:tc>
                <w:tcPr>
                  <w:tcW w:w="620" w:type="dxa"/>
                  <w:vMerge w:val="restart"/>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4</w:t>
                  </w:r>
                </w:p>
              </w:tc>
              <w:tc>
                <w:tcPr>
                  <w:tcW w:w="575" w:type="dxa"/>
                  <w:vMerge w:val="restart"/>
                  <w:noWrap w:val="0"/>
                  <w:vAlign w:val="center"/>
                </w:tcPr>
                <w:p>
                  <w:pPr>
                    <w:pStyle w:val="17"/>
                    <w:spacing w:before="0" w:beforeAutospacing="0" w:after="0" w:afterAutospacing="0"/>
                    <w:jc w:val="center"/>
                    <w:outlineLvl w:val="0"/>
                    <w:rPr>
                      <w:rFonts w:hint="eastAsia" w:ascii="Times New Roman" w:hAnsi="Times New Roman"/>
                      <w:snapToGrid w:val="0"/>
                      <w:color w:val="000000" w:themeColor="text1"/>
                      <w:sz w:val="18"/>
                      <w:szCs w:val="18"/>
                      <w14:textFill>
                        <w14:solidFill>
                          <w14:schemeClr w14:val="tx1"/>
                        </w14:solidFill>
                      </w14:textFill>
                    </w:rPr>
                  </w:pPr>
                  <w:r>
                    <w:rPr>
                      <w:rFonts w:hint="eastAsia" w:ascii="Times New Roman" w:hAnsi="Times New Roman"/>
                      <w:snapToGrid w:val="0"/>
                      <w:color w:val="000000" w:themeColor="text1"/>
                      <w:sz w:val="18"/>
                      <w:szCs w:val="18"/>
                      <w14:textFill>
                        <w14:solidFill>
                          <w14:schemeClr w14:val="tx1"/>
                        </w14:solidFill>
                      </w14:textFill>
                    </w:rPr>
                    <w:t>1</w:t>
                  </w: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东</w:t>
                  </w:r>
                </w:p>
              </w:tc>
              <w:tc>
                <w:tcPr>
                  <w:tcW w:w="572" w:type="dxa"/>
                  <w:noWrap w:val="0"/>
                  <w:vAlign w:val="center"/>
                </w:tcPr>
                <w:p>
                  <w:pPr>
                    <w:pStyle w:val="17"/>
                    <w:spacing w:before="0" w:beforeAutospacing="0" w:after="0" w:afterAutospacing="0"/>
                    <w:jc w:val="center"/>
                    <w:outlineLvl w:val="0"/>
                    <w:rPr>
                      <w:rFonts w:hint="default"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17</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东</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68.4</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restart"/>
                  <w:noWrap w:val="0"/>
                  <w:vAlign w:val="center"/>
                </w:tcPr>
                <w:p>
                  <w:pPr>
                    <w:pStyle w:val="17"/>
                    <w:spacing w:before="0" w:beforeAutospacing="0" w:after="0" w:afterAutospacing="0"/>
                    <w:jc w:val="center"/>
                    <w:outlineLvl w:val="0"/>
                    <w:rPr>
                      <w:rFonts w:hint="eastAsia" w:ascii="Times New Roman" w:hAnsi="Times New Roman"/>
                      <w:snapToGrid w:val="0"/>
                      <w:color w:val="000000" w:themeColor="text1"/>
                      <w:sz w:val="18"/>
                      <w:szCs w:val="18"/>
                      <w14:textFill>
                        <w14:solidFill>
                          <w14:schemeClr w14:val="tx1"/>
                        </w14:solidFill>
                      </w14:textFill>
                    </w:rPr>
                  </w:pPr>
                  <w:r>
                    <w:rPr>
                      <w:rFonts w:hint="eastAsia" w:ascii="Times New Roman" w:hAnsi="Times New Roman"/>
                      <w:snapToGrid w:val="0"/>
                      <w:color w:val="000000" w:themeColor="text1"/>
                      <w:sz w:val="18"/>
                      <w:szCs w:val="18"/>
                      <w14:textFill>
                        <w14:solidFill>
                          <w14:schemeClr w14:val="tx1"/>
                        </w14:solidFill>
                      </w14:textFill>
                    </w:rPr>
                    <w:t>25</w:t>
                  </w: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东</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25.4</w:t>
                  </w:r>
                </w:p>
              </w:tc>
              <w:tc>
                <w:tcPr>
                  <w:tcW w:w="813" w:type="dxa"/>
                  <w:vMerge w:val="restart"/>
                  <w:noWrap w:val="0"/>
                  <w:vAlign w:val="center"/>
                </w:tcPr>
                <w:p>
                  <w:pPr>
                    <w:pStyle w:val="17"/>
                    <w:spacing w:before="0" w:beforeAutospacing="0" w:after="0" w:afterAutospacing="0"/>
                    <w:jc w:val="center"/>
                    <w:outlineLvl w:val="0"/>
                    <w:rPr>
                      <w:rFonts w:hint="eastAsia" w:ascii="Times New Roman" w:hAnsi="Times New Roman"/>
                      <w:snapToGrid w:val="0"/>
                      <w:color w:val="000000" w:themeColor="text1"/>
                      <w:sz w:val="18"/>
                      <w:szCs w:val="18"/>
                      <w14:textFill>
                        <w14:solidFill>
                          <w14:schemeClr w14:val="tx1"/>
                        </w14:solidFill>
                      </w14:textFill>
                    </w:rPr>
                  </w:pPr>
                  <w:r>
                    <w:rPr>
                      <w:rFonts w:hint="eastAsia" w:ascii="Times New Roman" w:hAnsi="Times New Roman"/>
                      <w:snapToGrid w:val="0"/>
                      <w:color w:val="000000" w:themeColor="text1"/>
                      <w:sz w:val="18"/>
                      <w:szCs w:val="18"/>
                      <w14:textFill>
                        <w14:solidFill>
                          <w14:schemeClr w14:val="tx1"/>
                        </w14:solidFill>
                      </w14:textFill>
                    </w:rPr>
                    <w:t>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continue"/>
                  <w:noWrap w:val="0"/>
                  <w:vAlign w:val="center"/>
                </w:tcPr>
                <w:p>
                  <w:pPr>
                    <w:widowControl/>
                    <w:jc w:val="center"/>
                    <w:rPr>
                      <w:color w:val="000000" w:themeColor="text1"/>
                      <w:sz w:val="18"/>
                      <w:szCs w:val="18"/>
                      <w14:textFill>
                        <w14:solidFill>
                          <w14:schemeClr w14:val="tx1"/>
                        </w14:solidFill>
                      </w14:textFill>
                    </w:rPr>
                  </w:pPr>
                </w:p>
              </w:tc>
              <w:tc>
                <w:tcPr>
                  <w:tcW w:w="777" w:type="dxa"/>
                  <w:vMerge w:val="continue"/>
                  <w:noWrap w:val="0"/>
                  <w:vAlign w:val="center"/>
                </w:tcPr>
                <w:p>
                  <w:pPr>
                    <w:jc w:val="center"/>
                    <w:rPr>
                      <w:color w:val="000000" w:themeColor="text1"/>
                      <w:sz w:val="18"/>
                      <w:szCs w:val="18"/>
                      <w14:textFill>
                        <w14:solidFill>
                          <w14:schemeClr w14:val="tx1"/>
                        </w14:solidFill>
                      </w14:textFill>
                    </w:rPr>
                  </w:pPr>
                </w:p>
              </w:tc>
              <w:tc>
                <w:tcPr>
                  <w:tcW w:w="1026" w:type="dxa"/>
                  <w:vMerge w:val="continue"/>
                  <w:noWrap w:val="0"/>
                  <w:vAlign w:val="center"/>
                </w:tcPr>
                <w:p>
                  <w:pPr>
                    <w:jc w:val="center"/>
                    <w:rPr>
                      <w:color w:val="000000" w:themeColor="text1"/>
                      <w:sz w:val="18"/>
                      <w:szCs w:val="18"/>
                      <w14:textFill>
                        <w14:solidFill>
                          <w14:schemeClr w14:val="tx1"/>
                        </w14:solidFill>
                      </w14:textFill>
                    </w:rPr>
                  </w:pP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6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75"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南</w:t>
                  </w:r>
                </w:p>
              </w:tc>
              <w:tc>
                <w:tcPr>
                  <w:tcW w:w="572" w:type="dxa"/>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4</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南</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70.0</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南</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2.6</w:t>
                  </w:r>
                </w:p>
              </w:tc>
              <w:tc>
                <w:tcPr>
                  <w:tcW w:w="813"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continue"/>
                  <w:noWrap w:val="0"/>
                  <w:vAlign w:val="center"/>
                </w:tcPr>
                <w:p>
                  <w:pPr>
                    <w:widowControl/>
                    <w:jc w:val="center"/>
                    <w:rPr>
                      <w:color w:val="000000" w:themeColor="text1"/>
                      <w:sz w:val="18"/>
                      <w:szCs w:val="18"/>
                      <w14:textFill>
                        <w14:solidFill>
                          <w14:schemeClr w14:val="tx1"/>
                        </w14:solidFill>
                      </w14:textFill>
                    </w:rPr>
                  </w:pPr>
                </w:p>
              </w:tc>
              <w:tc>
                <w:tcPr>
                  <w:tcW w:w="777" w:type="dxa"/>
                  <w:vMerge w:val="continue"/>
                  <w:noWrap w:val="0"/>
                  <w:vAlign w:val="center"/>
                </w:tcPr>
                <w:p>
                  <w:pPr>
                    <w:jc w:val="center"/>
                    <w:rPr>
                      <w:color w:val="000000" w:themeColor="text1"/>
                      <w:sz w:val="18"/>
                      <w:szCs w:val="18"/>
                      <w14:textFill>
                        <w14:solidFill>
                          <w14:schemeClr w14:val="tx1"/>
                        </w14:solidFill>
                      </w14:textFill>
                    </w:rPr>
                  </w:pPr>
                </w:p>
              </w:tc>
              <w:tc>
                <w:tcPr>
                  <w:tcW w:w="1026" w:type="dxa"/>
                  <w:vMerge w:val="continue"/>
                  <w:noWrap w:val="0"/>
                  <w:vAlign w:val="center"/>
                </w:tcPr>
                <w:p>
                  <w:pPr>
                    <w:jc w:val="center"/>
                    <w:rPr>
                      <w:color w:val="000000" w:themeColor="text1"/>
                      <w:sz w:val="18"/>
                      <w:szCs w:val="18"/>
                      <w14:textFill>
                        <w14:solidFill>
                          <w14:schemeClr w14:val="tx1"/>
                        </w14:solidFill>
                      </w14:textFill>
                    </w:rPr>
                  </w:pP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6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75"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西</w:t>
                  </w:r>
                </w:p>
              </w:tc>
              <w:tc>
                <w:tcPr>
                  <w:tcW w:w="572" w:type="dxa"/>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3</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西</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70.9</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西</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7.3</w:t>
                  </w:r>
                </w:p>
              </w:tc>
              <w:tc>
                <w:tcPr>
                  <w:tcW w:w="813"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continue"/>
                  <w:noWrap w:val="0"/>
                  <w:vAlign w:val="center"/>
                </w:tcPr>
                <w:p>
                  <w:pPr>
                    <w:widowControl/>
                    <w:jc w:val="center"/>
                    <w:rPr>
                      <w:color w:val="000000" w:themeColor="text1"/>
                      <w:sz w:val="18"/>
                      <w:szCs w:val="18"/>
                      <w14:textFill>
                        <w14:solidFill>
                          <w14:schemeClr w14:val="tx1"/>
                        </w14:solidFill>
                      </w14:textFill>
                    </w:rPr>
                  </w:pPr>
                </w:p>
              </w:tc>
              <w:tc>
                <w:tcPr>
                  <w:tcW w:w="777" w:type="dxa"/>
                  <w:vMerge w:val="continue"/>
                  <w:noWrap w:val="0"/>
                  <w:vAlign w:val="center"/>
                </w:tcPr>
                <w:p>
                  <w:pPr>
                    <w:jc w:val="center"/>
                    <w:rPr>
                      <w:color w:val="000000" w:themeColor="text1"/>
                      <w:sz w:val="18"/>
                      <w:szCs w:val="18"/>
                      <w14:textFill>
                        <w14:solidFill>
                          <w14:schemeClr w14:val="tx1"/>
                        </w14:solidFill>
                      </w14:textFill>
                    </w:rPr>
                  </w:pPr>
                </w:p>
              </w:tc>
              <w:tc>
                <w:tcPr>
                  <w:tcW w:w="1026" w:type="dxa"/>
                  <w:vMerge w:val="continue"/>
                  <w:noWrap w:val="0"/>
                  <w:vAlign w:val="center"/>
                </w:tcPr>
                <w:p>
                  <w:pPr>
                    <w:jc w:val="center"/>
                    <w:rPr>
                      <w:color w:val="000000" w:themeColor="text1"/>
                      <w:sz w:val="18"/>
                      <w:szCs w:val="18"/>
                      <w14:textFill>
                        <w14:solidFill>
                          <w14:schemeClr w14:val="tx1"/>
                        </w14:solidFill>
                      </w14:textFill>
                    </w:rPr>
                  </w:pP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6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75"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北</w:t>
                  </w:r>
                </w:p>
              </w:tc>
              <w:tc>
                <w:tcPr>
                  <w:tcW w:w="572" w:type="dxa"/>
                  <w:noWrap w:val="0"/>
                  <w:vAlign w:val="center"/>
                </w:tcPr>
                <w:p>
                  <w:pPr>
                    <w:pStyle w:val="17"/>
                    <w:spacing w:before="0" w:beforeAutospacing="0" w:after="0" w:afterAutospacing="0"/>
                    <w:jc w:val="center"/>
                    <w:outlineLvl w:val="0"/>
                    <w:rPr>
                      <w:rFonts w:hint="default"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10</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北</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68.6</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北</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4.4</w:t>
                  </w:r>
                </w:p>
              </w:tc>
              <w:tc>
                <w:tcPr>
                  <w:tcW w:w="813"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restart"/>
                  <w:noWrap w:val="0"/>
                  <w:vAlign w:val="center"/>
                </w:tcPr>
                <w:p>
                  <w:pPr>
                    <w:pStyle w:val="17"/>
                    <w:spacing w:before="0" w:beforeAutospacing="0" w:after="0" w:afterAutospacing="0"/>
                    <w:jc w:val="center"/>
                    <w:outlineLvl w:val="0"/>
                    <w:rPr>
                      <w:rFonts w:hint="eastAsia" w:ascii="Times New Roman" w:hAnsi="Times New Roman"/>
                      <w:snapToGrid w:val="0"/>
                      <w:color w:val="000000" w:themeColor="text1"/>
                      <w:sz w:val="18"/>
                      <w:szCs w:val="18"/>
                      <w14:textFill>
                        <w14:solidFill>
                          <w14:schemeClr w14:val="tx1"/>
                        </w14:solidFill>
                      </w14:textFill>
                    </w:rPr>
                  </w:pPr>
                  <w:r>
                    <w:rPr>
                      <w:rFonts w:hint="eastAsia" w:ascii="Times New Roman" w:hAnsi="Times New Roman"/>
                      <w:snapToGrid w:val="0"/>
                      <w:color w:val="000000" w:themeColor="text1"/>
                      <w:sz w:val="18"/>
                      <w:szCs w:val="18"/>
                      <w14:textFill>
                        <w14:solidFill>
                          <w14:schemeClr w14:val="tx1"/>
                        </w14:solidFill>
                      </w14:textFill>
                    </w:rPr>
                    <w:t>4</w:t>
                  </w: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restart"/>
                  <w:noWrap w:val="0"/>
                  <w:vAlign w:val="center"/>
                </w:tcPr>
                <w:p>
                  <w:pPr>
                    <w:widowControl/>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装袋机</w:t>
                  </w:r>
                </w:p>
              </w:tc>
              <w:tc>
                <w:tcPr>
                  <w:tcW w:w="777" w:type="dxa"/>
                  <w:vMerge w:val="restart"/>
                  <w:noWrap w:val="0"/>
                  <w:vAlign w:val="center"/>
                </w:tcPr>
                <w:p>
                  <w:pPr>
                    <w:jc w:val="cente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w:t>
                  </w:r>
                </w:p>
              </w:tc>
              <w:tc>
                <w:tcPr>
                  <w:tcW w:w="1026" w:type="dxa"/>
                  <w:vMerge w:val="restart"/>
                  <w:noWrap w:val="0"/>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75</w:t>
                  </w: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restart"/>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5</w:t>
                  </w:r>
                </w:p>
              </w:tc>
              <w:tc>
                <w:tcPr>
                  <w:tcW w:w="620" w:type="dxa"/>
                  <w:vMerge w:val="restart"/>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6</w:t>
                  </w:r>
                </w:p>
              </w:tc>
              <w:tc>
                <w:tcPr>
                  <w:tcW w:w="575" w:type="dxa"/>
                  <w:vMerge w:val="restart"/>
                  <w:noWrap w:val="0"/>
                  <w:vAlign w:val="center"/>
                </w:tcPr>
                <w:p>
                  <w:pPr>
                    <w:pStyle w:val="17"/>
                    <w:spacing w:before="0" w:beforeAutospacing="0" w:after="0" w:afterAutospacing="0"/>
                    <w:jc w:val="center"/>
                    <w:outlineLvl w:val="0"/>
                    <w:rPr>
                      <w:rFonts w:hint="eastAsia" w:ascii="Times New Roman" w:hAnsi="Times New Roman"/>
                      <w:snapToGrid w:val="0"/>
                      <w:color w:val="000000" w:themeColor="text1"/>
                      <w:sz w:val="18"/>
                      <w:szCs w:val="18"/>
                      <w14:textFill>
                        <w14:solidFill>
                          <w14:schemeClr w14:val="tx1"/>
                        </w14:solidFill>
                      </w14:textFill>
                    </w:rPr>
                  </w:pPr>
                  <w:r>
                    <w:rPr>
                      <w:rFonts w:hint="eastAsia" w:ascii="Times New Roman" w:hAnsi="Times New Roman"/>
                      <w:snapToGrid w:val="0"/>
                      <w:color w:val="000000" w:themeColor="text1"/>
                      <w:sz w:val="18"/>
                      <w:szCs w:val="18"/>
                      <w14:textFill>
                        <w14:solidFill>
                          <w14:schemeClr w14:val="tx1"/>
                        </w14:solidFill>
                      </w14:textFill>
                    </w:rPr>
                    <w:t>1</w:t>
                  </w: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东</w:t>
                  </w:r>
                </w:p>
              </w:tc>
              <w:tc>
                <w:tcPr>
                  <w:tcW w:w="572" w:type="dxa"/>
                  <w:noWrap w:val="0"/>
                  <w:vAlign w:val="center"/>
                </w:tcPr>
                <w:p>
                  <w:pPr>
                    <w:pStyle w:val="17"/>
                    <w:spacing w:before="0" w:beforeAutospacing="0" w:after="0" w:afterAutospacing="0"/>
                    <w:jc w:val="center"/>
                    <w:outlineLvl w:val="0"/>
                    <w:rPr>
                      <w:rFonts w:hint="default"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15</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东</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58.5</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restart"/>
                  <w:noWrap w:val="0"/>
                  <w:vAlign w:val="center"/>
                </w:tcPr>
                <w:p>
                  <w:pPr>
                    <w:pStyle w:val="17"/>
                    <w:spacing w:before="0" w:beforeAutospacing="0" w:after="0" w:afterAutospacing="0"/>
                    <w:jc w:val="center"/>
                    <w:outlineLvl w:val="0"/>
                    <w:rPr>
                      <w:rFonts w:hint="eastAsia" w:ascii="Times New Roman" w:hAnsi="Times New Roman"/>
                      <w:snapToGrid w:val="0"/>
                      <w:color w:val="000000" w:themeColor="text1"/>
                      <w:sz w:val="18"/>
                      <w:szCs w:val="18"/>
                      <w14:textFill>
                        <w14:solidFill>
                          <w14:schemeClr w14:val="tx1"/>
                        </w14:solidFill>
                      </w14:textFill>
                    </w:rPr>
                  </w:pPr>
                  <w:r>
                    <w:rPr>
                      <w:rFonts w:hint="eastAsia" w:ascii="Times New Roman" w:hAnsi="Times New Roman"/>
                      <w:snapToGrid w:val="0"/>
                      <w:color w:val="000000" w:themeColor="text1"/>
                      <w:sz w:val="18"/>
                      <w:szCs w:val="18"/>
                      <w14:textFill>
                        <w14:solidFill>
                          <w14:schemeClr w14:val="tx1"/>
                        </w14:solidFill>
                      </w14:textFill>
                    </w:rPr>
                    <w:t>25</w:t>
                  </w: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东</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15.4</w:t>
                  </w:r>
                </w:p>
              </w:tc>
              <w:tc>
                <w:tcPr>
                  <w:tcW w:w="813" w:type="dxa"/>
                  <w:vMerge w:val="restart"/>
                  <w:noWrap w:val="0"/>
                  <w:vAlign w:val="center"/>
                </w:tcPr>
                <w:p>
                  <w:pPr>
                    <w:pStyle w:val="17"/>
                    <w:spacing w:before="0" w:beforeAutospacing="0" w:after="0" w:afterAutospacing="0"/>
                    <w:jc w:val="center"/>
                    <w:outlineLvl w:val="0"/>
                    <w:rPr>
                      <w:rFonts w:hint="eastAsia" w:ascii="Times New Roman" w:hAnsi="Times New Roman"/>
                      <w:snapToGrid w:val="0"/>
                      <w:color w:val="000000" w:themeColor="text1"/>
                      <w:sz w:val="18"/>
                      <w:szCs w:val="18"/>
                      <w14:textFill>
                        <w14:solidFill>
                          <w14:schemeClr w14:val="tx1"/>
                        </w14:solidFill>
                      </w14:textFill>
                    </w:rPr>
                  </w:pPr>
                  <w:r>
                    <w:rPr>
                      <w:rFonts w:hint="eastAsia" w:ascii="Times New Roman" w:hAnsi="Times New Roman"/>
                      <w:snapToGrid w:val="0"/>
                      <w:color w:val="000000" w:themeColor="text1"/>
                      <w:sz w:val="18"/>
                      <w:szCs w:val="18"/>
                      <w14:textFill>
                        <w14:solidFill>
                          <w14:schemeClr w14:val="tx1"/>
                        </w14:solidFill>
                      </w14:textFill>
                    </w:rPr>
                    <w:t>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continue"/>
                  <w:noWrap w:val="0"/>
                  <w:vAlign w:val="center"/>
                </w:tcPr>
                <w:p>
                  <w:pPr>
                    <w:widowControl/>
                    <w:jc w:val="center"/>
                    <w:rPr>
                      <w:color w:val="000000" w:themeColor="text1"/>
                      <w:sz w:val="18"/>
                      <w:szCs w:val="18"/>
                      <w14:textFill>
                        <w14:solidFill>
                          <w14:schemeClr w14:val="tx1"/>
                        </w14:solidFill>
                      </w14:textFill>
                    </w:rPr>
                  </w:pPr>
                </w:p>
              </w:tc>
              <w:tc>
                <w:tcPr>
                  <w:tcW w:w="777" w:type="dxa"/>
                  <w:vMerge w:val="continue"/>
                  <w:noWrap w:val="0"/>
                  <w:vAlign w:val="center"/>
                </w:tcPr>
                <w:p>
                  <w:pPr>
                    <w:jc w:val="center"/>
                    <w:rPr>
                      <w:color w:val="000000" w:themeColor="text1"/>
                      <w:sz w:val="18"/>
                      <w:szCs w:val="18"/>
                      <w14:textFill>
                        <w14:solidFill>
                          <w14:schemeClr w14:val="tx1"/>
                        </w14:solidFill>
                      </w14:textFill>
                    </w:rPr>
                  </w:pPr>
                </w:p>
              </w:tc>
              <w:tc>
                <w:tcPr>
                  <w:tcW w:w="1026" w:type="dxa"/>
                  <w:vMerge w:val="continue"/>
                  <w:noWrap w:val="0"/>
                  <w:vAlign w:val="center"/>
                </w:tcPr>
                <w:p>
                  <w:pPr>
                    <w:jc w:val="center"/>
                    <w:rPr>
                      <w:color w:val="000000" w:themeColor="text1"/>
                      <w:sz w:val="18"/>
                      <w:szCs w:val="18"/>
                      <w14:textFill>
                        <w14:solidFill>
                          <w14:schemeClr w14:val="tx1"/>
                        </w14:solidFill>
                      </w14:textFill>
                    </w:rPr>
                  </w:pP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6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75"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南</w:t>
                  </w:r>
                </w:p>
              </w:tc>
              <w:tc>
                <w:tcPr>
                  <w:tcW w:w="572" w:type="dxa"/>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6</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南</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59.1</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南</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-8.3</w:t>
                  </w:r>
                </w:p>
              </w:tc>
              <w:tc>
                <w:tcPr>
                  <w:tcW w:w="813"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continue"/>
                  <w:noWrap w:val="0"/>
                  <w:vAlign w:val="center"/>
                </w:tcPr>
                <w:p>
                  <w:pPr>
                    <w:widowControl/>
                    <w:jc w:val="center"/>
                    <w:rPr>
                      <w:color w:val="000000" w:themeColor="text1"/>
                      <w:sz w:val="18"/>
                      <w:szCs w:val="18"/>
                      <w14:textFill>
                        <w14:solidFill>
                          <w14:schemeClr w14:val="tx1"/>
                        </w14:solidFill>
                      </w14:textFill>
                    </w:rPr>
                  </w:pPr>
                </w:p>
              </w:tc>
              <w:tc>
                <w:tcPr>
                  <w:tcW w:w="777" w:type="dxa"/>
                  <w:vMerge w:val="continue"/>
                  <w:noWrap w:val="0"/>
                  <w:vAlign w:val="center"/>
                </w:tcPr>
                <w:p>
                  <w:pPr>
                    <w:jc w:val="center"/>
                    <w:rPr>
                      <w:color w:val="000000" w:themeColor="text1"/>
                      <w:sz w:val="18"/>
                      <w:szCs w:val="18"/>
                      <w14:textFill>
                        <w14:solidFill>
                          <w14:schemeClr w14:val="tx1"/>
                        </w14:solidFill>
                      </w14:textFill>
                    </w:rPr>
                  </w:pPr>
                </w:p>
              </w:tc>
              <w:tc>
                <w:tcPr>
                  <w:tcW w:w="1026" w:type="dxa"/>
                  <w:vMerge w:val="continue"/>
                  <w:noWrap w:val="0"/>
                  <w:vAlign w:val="center"/>
                </w:tcPr>
                <w:p>
                  <w:pPr>
                    <w:jc w:val="center"/>
                    <w:rPr>
                      <w:color w:val="000000" w:themeColor="text1"/>
                      <w:sz w:val="18"/>
                      <w:szCs w:val="18"/>
                      <w14:textFill>
                        <w14:solidFill>
                          <w14:schemeClr w14:val="tx1"/>
                        </w14:solidFill>
                      </w14:textFill>
                    </w:rPr>
                  </w:pP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6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75"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西</w:t>
                  </w:r>
                </w:p>
              </w:tc>
              <w:tc>
                <w:tcPr>
                  <w:tcW w:w="572" w:type="dxa"/>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5</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西</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59.4</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西</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-4.2</w:t>
                  </w:r>
                </w:p>
              </w:tc>
              <w:tc>
                <w:tcPr>
                  <w:tcW w:w="813"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6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8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376" w:type="dxa"/>
                  <w:vMerge w:val="continue"/>
                  <w:noWrap w:val="0"/>
                  <w:vAlign w:val="center"/>
                </w:tcPr>
                <w:p>
                  <w:pPr>
                    <w:widowControl/>
                    <w:jc w:val="center"/>
                    <w:rPr>
                      <w:color w:val="000000" w:themeColor="text1"/>
                      <w:sz w:val="18"/>
                      <w:szCs w:val="18"/>
                      <w14:textFill>
                        <w14:solidFill>
                          <w14:schemeClr w14:val="tx1"/>
                        </w14:solidFill>
                      </w14:textFill>
                    </w:rPr>
                  </w:pPr>
                </w:p>
              </w:tc>
              <w:tc>
                <w:tcPr>
                  <w:tcW w:w="777" w:type="dxa"/>
                  <w:vMerge w:val="continue"/>
                  <w:noWrap w:val="0"/>
                  <w:vAlign w:val="center"/>
                </w:tcPr>
                <w:p>
                  <w:pPr>
                    <w:jc w:val="center"/>
                    <w:rPr>
                      <w:color w:val="000000" w:themeColor="text1"/>
                      <w:sz w:val="18"/>
                      <w:szCs w:val="18"/>
                      <w14:textFill>
                        <w14:solidFill>
                          <w14:schemeClr w14:val="tx1"/>
                        </w14:solidFill>
                      </w14:textFill>
                    </w:rPr>
                  </w:pPr>
                </w:p>
              </w:tc>
              <w:tc>
                <w:tcPr>
                  <w:tcW w:w="1026" w:type="dxa"/>
                  <w:vMerge w:val="continue"/>
                  <w:noWrap w:val="0"/>
                  <w:vAlign w:val="center"/>
                </w:tcPr>
                <w:p>
                  <w:pPr>
                    <w:jc w:val="center"/>
                    <w:rPr>
                      <w:color w:val="000000" w:themeColor="text1"/>
                      <w:sz w:val="18"/>
                      <w:szCs w:val="18"/>
                      <w14:textFill>
                        <w14:solidFill>
                          <w14:schemeClr w14:val="tx1"/>
                        </w14:solidFill>
                      </w14:textFill>
                    </w:rPr>
                  </w:pPr>
                </w:p>
              </w:tc>
              <w:tc>
                <w:tcPr>
                  <w:tcW w:w="918"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9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620"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575"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72"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北</w:t>
                  </w:r>
                </w:p>
              </w:tc>
              <w:tc>
                <w:tcPr>
                  <w:tcW w:w="572" w:type="dxa"/>
                  <w:noWrap w:val="0"/>
                  <w:vAlign w:val="center"/>
                </w:tcPr>
                <w:p>
                  <w:pPr>
                    <w:pStyle w:val="17"/>
                    <w:spacing w:before="0" w:beforeAutospacing="0" w:after="0" w:afterAutospacing="0"/>
                    <w:jc w:val="center"/>
                    <w:outlineLvl w:val="0"/>
                    <w:rPr>
                      <w:rFonts w:hint="eastAsia" w:ascii="Times New Roman" w:hAnsi="Times New Roman" w:eastAsia="宋体"/>
                      <w:snapToGrid w:val="0"/>
                      <w:color w:val="000000" w:themeColor="text1"/>
                      <w:sz w:val="18"/>
                      <w:szCs w:val="18"/>
                      <w:lang w:val="en-US" w:eastAsia="zh-CN"/>
                      <w14:textFill>
                        <w14:solidFill>
                          <w14:schemeClr w14:val="tx1"/>
                        </w14:solidFill>
                      </w14:textFill>
                    </w:rPr>
                  </w:pPr>
                  <w:r>
                    <w:rPr>
                      <w:rFonts w:hint="eastAsia" w:ascii="Times New Roman" w:hAnsi="Times New Roman"/>
                      <w:snapToGrid w:val="0"/>
                      <w:color w:val="000000" w:themeColor="text1"/>
                      <w:sz w:val="18"/>
                      <w:szCs w:val="18"/>
                      <w:lang w:val="en-US" w:eastAsia="zh-CN"/>
                      <w14:textFill>
                        <w14:solidFill>
                          <w14:schemeClr w14:val="tx1"/>
                        </w14:solidFill>
                      </w14:textFill>
                    </w:rPr>
                    <w:t>4</w:t>
                  </w:r>
                </w:p>
              </w:tc>
              <w:tc>
                <w:tcPr>
                  <w:tcW w:w="42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北</w:t>
                  </w:r>
                </w:p>
              </w:tc>
              <w:tc>
                <w:tcPr>
                  <w:tcW w:w="856"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60.0</w:t>
                  </w:r>
                </w:p>
              </w:tc>
              <w:tc>
                <w:tcPr>
                  <w:tcW w:w="901"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1007"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c>
                <w:tcPr>
                  <w:tcW w:w="456" w:type="dxa"/>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r>
                    <w:rPr>
                      <w:rFonts w:ascii="Times New Roman" w:hAnsi="Times New Roman"/>
                      <w:snapToGrid w:val="0"/>
                      <w:color w:val="000000" w:themeColor="text1"/>
                      <w:sz w:val="18"/>
                      <w:szCs w:val="18"/>
                      <w14:textFill>
                        <w14:solidFill>
                          <w14:schemeClr w14:val="tx1"/>
                        </w14:solidFill>
                      </w14:textFill>
                    </w:rPr>
                    <w:t>北</w:t>
                  </w:r>
                </w:p>
              </w:tc>
              <w:tc>
                <w:tcPr>
                  <w:tcW w:w="672" w:type="dxa"/>
                  <w:noWrap w:val="0"/>
                  <w:vAlign w:val="center"/>
                </w:tcPr>
                <w:p>
                  <w:pPr>
                    <w:widowControl/>
                    <w:jc w:val="center"/>
                    <w:textAlignment w:val="center"/>
                    <w:rPr>
                      <w:rFonts w:hint="default" w:eastAsia="宋体"/>
                      <w:snapToGrid w:val="0"/>
                      <w:color w:val="000000" w:themeColor="text1"/>
                      <w:sz w:val="18"/>
                      <w:szCs w:val="18"/>
                      <w:lang w:val="en-US" w:eastAsia="zh-CN"/>
                      <w14:textFill>
                        <w14:solidFill>
                          <w14:schemeClr w14:val="tx1"/>
                        </w14:solidFill>
                      </w14:textFill>
                    </w:rPr>
                  </w:pPr>
                  <w:r>
                    <w:rPr>
                      <w:rFonts w:hint="eastAsia"/>
                      <w:snapToGrid w:val="0"/>
                      <w:color w:val="000000" w:themeColor="text1"/>
                      <w:sz w:val="18"/>
                      <w:szCs w:val="18"/>
                      <w:lang w:val="en-US" w:eastAsia="zh-CN"/>
                      <w14:textFill>
                        <w14:solidFill>
                          <w14:schemeClr w14:val="tx1"/>
                        </w14:solidFill>
                      </w14:textFill>
                    </w:rPr>
                    <w:t>-4.3</w:t>
                  </w:r>
                </w:p>
              </w:tc>
              <w:tc>
                <w:tcPr>
                  <w:tcW w:w="813" w:type="dxa"/>
                  <w:vMerge w:val="continue"/>
                  <w:noWrap w:val="0"/>
                  <w:vAlign w:val="center"/>
                </w:tcPr>
                <w:p>
                  <w:pPr>
                    <w:pStyle w:val="17"/>
                    <w:spacing w:before="0" w:beforeAutospacing="0" w:after="0" w:afterAutospacing="0"/>
                    <w:jc w:val="center"/>
                    <w:outlineLvl w:val="0"/>
                    <w:rPr>
                      <w:rFonts w:ascii="Times New Roman" w:hAnsi="Times New Roman"/>
                      <w:snapToGrid w:val="0"/>
                      <w:color w:val="000000" w:themeColor="text1"/>
                      <w:sz w:val="18"/>
                      <w:szCs w:val="18"/>
                      <w14:textFill>
                        <w14:solidFill>
                          <w14:schemeClr w14:val="tx1"/>
                        </w14:solidFill>
                      </w14:textFill>
                    </w:rPr>
                  </w:pPr>
                </w:p>
              </w:tc>
            </w:tr>
          </w:tbl>
          <w:p>
            <w:pPr>
              <w:pStyle w:val="17"/>
              <w:spacing w:before="0" w:beforeAutospacing="0" w:after="0" w:afterAutospacing="0"/>
              <w:outlineLvl w:val="0"/>
              <w:rPr>
                <w:rFonts w:ascii="Times New Roman" w:hAnsi="Times New Roman"/>
                <w:b/>
                <w:bCs/>
                <w:kern w:val="2"/>
                <w:sz w:val="18"/>
                <w:szCs w:val="18"/>
              </w:rPr>
            </w:pPr>
            <w:r>
              <w:rPr>
                <w:rFonts w:ascii="Times New Roman" w:hAnsi="Times New Roman"/>
                <w:b/>
                <w:bCs/>
                <w:kern w:val="2"/>
                <w:sz w:val="18"/>
                <w:szCs w:val="18"/>
              </w:rPr>
              <w:t>注：本项目设置厂房</w:t>
            </w:r>
            <w:r>
              <w:rPr>
                <w:rFonts w:hint="eastAsia" w:ascii="Times New Roman" w:hAnsi="Times New Roman"/>
                <w:b/>
                <w:bCs/>
                <w:kern w:val="2"/>
                <w:sz w:val="18"/>
                <w:szCs w:val="18"/>
                <w:lang w:val="en-US" w:eastAsia="zh-CN"/>
              </w:rPr>
              <w:t>车间</w:t>
            </w:r>
            <w:r>
              <w:rPr>
                <w:rFonts w:ascii="Times New Roman" w:hAnsi="Times New Roman"/>
                <w:b/>
                <w:bCs/>
                <w:kern w:val="2"/>
                <w:sz w:val="18"/>
                <w:szCs w:val="18"/>
              </w:rPr>
              <w:t>一西南角为坐标原点。</w:t>
            </w:r>
          </w:p>
          <w:p>
            <w:pPr>
              <w:pStyle w:val="17"/>
              <w:spacing w:before="0" w:beforeAutospacing="0" w:after="0" w:afterAutospacing="0" w:line="480" w:lineRule="exact"/>
              <w:jc w:val="center"/>
              <w:outlineLvl w:val="0"/>
              <w:rPr>
                <w:rFonts w:ascii="Times New Roman" w:hAnsi="Times New Roman"/>
                <w:b/>
                <w:bCs/>
                <w:kern w:val="2"/>
                <w:sz w:val="18"/>
                <w:szCs w:val="18"/>
              </w:rPr>
            </w:pPr>
          </w:p>
          <w:p>
            <w:pPr>
              <w:pStyle w:val="17"/>
              <w:spacing w:before="0" w:beforeAutospacing="0" w:after="0" w:afterAutospacing="0" w:line="480" w:lineRule="exact"/>
              <w:jc w:val="center"/>
              <w:outlineLvl w:val="0"/>
              <w:rPr>
                <w:rFonts w:ascii="Times New Roman" w:hAnsi="Times New Roman"/>
                <w:b/>
                <w:bCs/>
                <w:kern w:val="2"/>
                <w:sz w:val="18"/>
                <w:szCs w:val="18"/>
              </w:rPr>
            </w:pPr>
          </w:p>
          <w:p>
            <w:pPr>
              <w:pStyle w:val="17"/>
              <w:spacing w:before="0" w:beforeAutospacing="0" w:after="0" w:afterAutospacing="0" w:line="480" w:lineRule="exact"/>
              <w:jc w:val="center"/>
              <w:outlineLvl w:val="0"/>
              <w:rPr>
                <w:rFonts w:ascii="Times New Roman" w:hAnsi="Times New Roman"/>
                <w:b/>
                <w:bCs/>
                <w:kern w:val="2"/>
                <w:sz w:val="18"/>
                <w:szCs w:val="18"/>
              </w:rPr>
            </w:pPr>
            <w:r>
              <w:rPr>
                <w:rFonts w:ascii="Times New Roman" w:hAnsi="Times New Roman"/>
                <w:b/>
                <w:bCs/>
                <w:kern w:val="2"/>
                <w:sz w:val="18"/>
                <w:szCs w:val="18"/>
              </w:rPr>
              <w:t>表4-20  本项目噪声源强调查清单（室外声源）</w:t>
            </w:r>
          </w:p>
          <w:tbl>
            <w:tblPr>
              <w:tblStyle w:val="21"/>
              <w:tblW w:w="13484"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410"/>
              <w:gridCol w:w="664"/>
              <w:gridCol w:w="1338"/>
              <w:gridCol w:w="1425"/>
              <w:gridCol w:w="729"/>
              <w:gridCol w:w="2186"/>
              <w:gridCol w:w="2488"/>
              <w:gridCol w:w="161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30" w:type="dxa"/>
                  <w:vMerge w:val="restart"/>
                  <w:noWrap w:val="0"/>
                  <w:vAlign w:val="center"/>
                </w:tcPr>
                <w:p>
                  <w:pPr>
                    <w:pStyle w:val="17"/>
                    <w:spacing w:before="0" w:beforeAutospacing="0" w:after="0" w:afterAutospacing="0"/>
                    <w:jc w:val="center"/>
                    <w:outlineLvl w:val="0"/>
                    <w:rPr>
                      <w:rFonts w:ascii="Times New Roman" w:hAnsi="Times New Roman"/>
                      <w:b/>
                      <w:bCs/>
                      <w:kern w:val="2"/>
                      <w:sz w:val="18"/>
                      <w:szCs w:val="18"/>
                    </w:rPr>
                  </w:pPr>
                  <w:r>
                    <w:rPr>
                      <w:rFonts w:ascii="Times New Roman" w:hAnsi="Times New Roman"/>
                      <w:b/>
                      <w:bCs/>
                      <w:kern w:val="2"/>
                      <w:sz w:val="18"/>
                      <w:szCs w:val="18"/>
                    </w:rPr>
                    <w:t>序号</w:t>
                  </w:r>
                </w:p>
              </w:tc>
              <w:tc>
                <w:tcPr>
                  <w:tcW w:w="2410" w:type="dxa"/>
                  <w:vMerge w:val="restart"/>
                  <w:noWrap w:val="0"/>
                  <w:vAlign w:val="center"/>
                </w:tcPr>
                <w:p>
                  <w:pPr>
                    <w:pStyle w:val="17"/>
                    <w:spacing w:before="0" w:beforeAutospacing="0" w:after="0" w:afterAutospacing="0"/>
                    <w:jc w:val="center"/>
                    <w:outlineLvl w:val="0"/>
                    <w:rPr>
                      <w:rFonts w:ascii="Times New Roman" w:hAnsi="Times New Roman"/>
                      <w:b/>
                      <w:bCs/>
                      <w:kern w:val="2"/>
                      <w:sz w:val="18"/>
                      <w:szCs w:val="18"/>
                    </w:rPr>
                  </w:pPr>
                  <w:r>
                    <w:rPr>
                      <w:rFonts w:ascii="Times New Roman" w:hAnsi="Times New Roman"/>
                      <w:b/>
                      <w:bCs/>
                      <w:kern w:val="2"/>
                      <w:sz w:val="18"/>
                      <w:szCs w:val="18"/>
                    </w:rPr>
                    <w:t>声源名称</w:t>
                  </w:r>
                </w:p>
              </w:tc>
              <w:tc>
                <w:tcPr>
                  <w:tcW w:w="664" w:type="dxa"/>
                  <w:vMerge w:val="restart"/>
                  <w:noWrap w:val="0"/>
                  <w:vAlign w:val="center"/>
                </w:tcPr>
                <w:p>
                  <w:pPr>
                    <w:pStyle w:val="17"/>
                    <w:spacing w:before="0" w:beforeAutospacing="0" w:after="0" w:afterAutospacing="0"/>
                    <w:jc w:val="center"/>
                    <w:outlineLvl w:val="0"/>
                    <w:rPr>
                      <w:rFonts w:ascii="Times New Roman" w:hAnsi="Times New Roman"/>
                      <w:b/>
                      <w:bCs/>
                      <w:kern w:val="2"/>
                      <w:sz w:val="18"/>
                      <w:szCs w:val="18"/>
                    </w:rPr>
                  </w:pPr>
                  <w:r>
                    <w:rPr>
                      <w:rFonts w:ascii="Times New Roman" w:hAnsi="Times New Roman"/>
                      <w:b/>
                      <w:bCs/>
                      <w:kern w:val="2"/>
                      <w:sz w:val="18"/>
                      <w:szCs w:val="18"/>
                    </w:rPr>
                    <w:t>型号</w:t>
                  </w:r>
                </w:p>
              </w:tc>
              <w:tc>
                <w:tcPr>
                  <w:tcW w:w="3492" w:type="dxa"/>
                  <w:gridSpan w:val="3"/>
                  <w:noWrap w:val="0"/>
                  <w:vAlign w:val="center"/>
                </w:tcPr>
                <w:p>
                  <w:pPr>
                    <w:pStyle w:val="17"/>
                    <w:spacing w:before="0" w:beforeAutospacing="0" w:after="0" w:afterAutospacing="0"/>
                    <w:jc w:val="center"/>
                    <w:outlineLvl w:val="0"/>
                    <w:rPr>
                      <w:rFonts w:ascii="Times New Roman" w:hAnsi="Times New Roman"/>
                      <w:b/>
                      <w:bCs/>
                      <w:kern w:val="2"/>
                      <w:sz w:val="18"/>
                      <w:szCs w:val="18"/>
                    </w:rPr>
                  </w:pPr>
                  <w:r>
                    <w:rPr>
                      <w:rFonts w:ascii="Times New Roman" w:hAnsi="Times New Roman"/>
                      <w:b/>
                      <w:bCs/>
                      <w:snapToGrid w:val="0"/>
                      <w:sz w:val="18"/>
                      <w:szCs w:val="18"/>
                    </w:rPr>
                    <w:t>空间相对位置/m</w:t>
                  </w:r>
                </w:p>
              </w:tc>
              <w:tc>
                <w:tcPr>
                  <w:tcW w:w="2186" w:type="dxa"/>
                  <w:noWrap w:val="0"/>
                  <w:vAlign w:val="center"/>
                </w:tcPr>
                <w:p>
                  <w:pPr>
                    <w:pStyle w:val="17"/>
                    <w:spacing w:before="0" w:beforeAutospacing="0" w:after="0" w:afterAutospacing="0"/>
                    <w:jc w:val="center"/>
                    <w:outlineLvl w:val="0"/>
                    <w:rPr>
                      <w:rFonts w:ascii="Times New Roman" w:hAnsi="Times New Roman"/>
                      <w:b/>
                      <w:bCs/>
                      <w:kern w:val="2"/>
                      <w:sz w:val="18"/>
                      <w:szCs w:val="18"/>
                    </w:rPr>
                  </w:pPr>
                  <w:r>
                    <w:rPr>
                      <w:rFonts w:ascii="Times New Roman" w:hAnsi="Times New Roman"/>
                      <w:b/>
                      <w:bCs/>
                      <w:kern w:val="2"/>
                      <w:sz w:val="18"/>
                      <w:szCs w:val="18"/>
                    </w:rPr>
                    <w:t>声源声强</w:t>
                  </w:r>
                </w:p>
              </w:tc>
              <w:tc>
                <w:tcPr>
                  <w:tcW w:w="2488" w:type="dxa"/>
                  <w:vMerge w:val="restart"/>
                  <w:noWrap w:val="0"/>
                  <w:vAlign w:val="center"/>
                </w:tcPr>
                <w:p>
                  <w:pPr>
                    <w:pStyle w:val="17"/>
                    <w:spacing w:before="0" w:beforeAutospacing="0" w:after="0" w:afterAutospacing="0"/>
                    <w:jc w:val="center"/>
                    <w:outlineLvl w:val="0"/>
                    <w:rPr>
                      <w:rFonts w:ascii="Times New Roman" w:hAnsi="Times New Roman"/>
                      <w:b/>
                      <w:bCs/>
                      <w:kern w:val="2"/>
                      <w:sz w:val="18"/>
                      <w:szCs w:val="18"/>
                    </w:rPr>
                  </w:pPr>
                  <w:r>
                    <w:rPr>
                      <w:rFonts w:ascii="Times New Roman" w:hAnsi="Times New Roman"/>
                      <w:b/>
                      <w:bCs/>
                      <w:kern w:val="2"/>
                      <w:sz w:val="18"/>
                      <w:szCs w:val="18"/>
                    </w:rPr>
                    <w:t>声源控制措施</w:t>
                  </w:r>
                </w:p>
              </w:tc>
              <w:tc>
                <w:tcPr>
                  <w:tcW w:w="1614" w:type="dxa"/>
                  <w:vMerge w:val="restart"/>
                  <w:noWrap w:val="0"/>
                  <w:vAlign w:val="center"/>
                </w:tcPr>
                <w:p>
                  <w:pPr>
                    <w:pStyle w:val="17"/>
                    <w:spacing w:before="0" w:beforeAutospacing="0" w:after="0" w:afterAutospacing="0"/>
                    <w:jc w:val="center"/>
                    <w:outlineLvl w:val="0"/>
                    <w:rPr>
                      <w:rFonts w:ascii="Times New Roman" w:hAnsi="Times New Roman"/>
                      <w:b/>
                      <w:bCs/>
                      <w:kern w:val="2"/>
                      <w:sz w:val="18"/>
                      <w:szCs w:val="18"/>
                    </w:rPr>
                  </w:pPr>
                  <w:r>
                    <w:rPr>
                      <w:rFonts w:ascii="Times New Roman" w:hAnsi="Times New Roman"/>
                      <w:b/>
                      <w:bCs/>
                      <w:kern w:val="2"/>
                      <w:sz w:val="18"/>
                      <w:szCs w:val="18"/>
                    </w:rPr>
                    <w:t>运行时段</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30" w:type="dxa"/>
                  <w:vMerge w:val="continue"/>
                  <w:noWrap w:val="0"/>
                  <w:vAlign w:val="center"/>
                </w:tcPr>
                <w:p>
                  <w:pPr>
                    <w:pStyle w:val="17"/>
                    <w:spacing w:before="0" w:beforeAutospacing="0" w:after="0" w:afterAutospacing="0"/>
                    <w:jc w:val="center"/>
                    <w:outlineLvl w:val="0"/>
                    <w:rPr>
                      <w:rFonts w:ascii="Times New Roman" w:hAnsi="Times New Roman"/>
                      <w:b/>
                      <w:bCs/>
                      <w:kern w:val="2"/>
                      <w:sz w:val="18"/>
                      <w:szCs w:val="18"/>
                    </w:rPr>
                  </w:pPr>
                </w:p>
              </w:tc>
              <w:tc>
                <w:tcPr>
                  <w:tcW w:w="2410" w:type="dxa"/>
                  <w:vMerge w:val="continue"/>
                  <w:noWrap w:val="0"/>
                  <w:vAlign w:val="center"/>
                </w:tcPr>
                <w:p>
                  <w:pPr>
                    <w:pStyle w:val="17"/>
                    <w:spacing w:before="0" w:beforeAutospacing="0" w:after="0" w:afterAutospacing="0"/>
                    <w:jc w:val="center"/>
                    <w:outlineLvl w:val="0"/>
                    <w:rPr>
                      <w:rFonts w:ascii="Times New Roman" w:hAnsi="Times New Roman"/>
                      <w:b/>
                      <w:bCs/>
                      <w:kern w:val="2"/>
                      <w:sz w:val="18"/>
                      <w:szCs w:val="18"/>
                    </w:rPr>
                  </w:pPr>
                </w:p>
              </w:tc>
              <w:tc>
                <w:tcPr>
                  <w:tcW w:w="664" w:type="dxa"/>
                  <w:vMerge w:val="continue"/>
                  <w:noWrap w:val="0"/>
                  <w:vAlign w:val="center"/>
                </w:tcPr>
                <w:p>
                  <w:pPr>
                    <w:pStyle w:val="17"/>
                    <w:spacing w:before="0" w:beforeAutospacing="0" w:after="0" w:afterAutospacing="0"/>
                    <w:jc w:val="center"/>
                    <w:outlineLvl w:val="0"/>
                    <w:rPr>
                      <w:rFonts w:ascii="Times New Roman" w:hAnsi="Times New Roman"/>
                      <w:b/>
                      <w:bCs/>
                      <w:kern w:val="2"/>
                      <w:sz w:val="18"/>
                      <w:szCs w:val="18"/>
                    </w:rPr>
                  </w:pPr>
                </w:p>
              </w:tc>
              <w:tc>
                <w:tcPr>
                  <w:tcW w:w="1338" w:type="dxa"/>
                  <w:noWrap w:val="0"/>
                  <w:vAlign w:val="center"/>
                </w:tcPr>
                <w:p>
                  <w:pPr>
                    <w:pStyle w:val="17"/>
                    <w:spacing w:before="0" w:beforeAutospacing="0" w:after="0" w:afterAutospacing="0"/>
                    <w:jc w:val="center"/>
                    <w:outlineLvl w:val="0"/>
                    <w:rPr>
                      <w:rFonts w:ascii="Times New Roman" w:hAnsi="Times New Roman"/>
                      <w:b/>
                      <w:bCs/>
                      <w:kern w:val="2"/>
                      <w:sz w:val="18"/>
                      <w:szCs w:val="18"/>
                    </w:rPr>
                  </w:pPr>
                  <w:r>
                    <w:rPr>
                      <w:rFonts w:ascii="Times New Roman" w:hAnsi="Times New Roman"/>
                      <w:b/>
                      <w:bCs/>
                      <w:kern w:val="2"/>
                      <w:sz w:val="18"/>
                      <w:szCs w:val="18"/>
                    </w:rPr>
                    <w:t>X</w:t>
                  </w:r>
                </w:p>
              </w:tc>
              <w:tc>
                <w:tcPr>
                  <w:tcW w:w="1425" w:type="dxa"/>
                  <w:noWrap w:val="0"/>
                  <w:vAlign w:val="center"/>
                </w:tcPr>
                <w:p>
                  <w:pPr>
                    <w:pStyle w:val="17"/>
                    <w:spacing w:before="0" w:beforeAutospacing="0" w:after="0" w:afterAutospacing="0"/>
                    <w:jc w:val="center"/>
                    <w:outlineLvl w:val="0"/>
                    <w:rPr>
                      <w:rFonts w:ascii="Times New Roman" w:hAnsi="Times New Roman"/>
                      <w:b/>
                      <w:bCs/>
                      <w:kern w:val="2"/>
                      <w:sz w:val="18"/>
                      <w:szCs w:val="18"/>
                    </w:rPr>
                  </w:pPr>
                  <w:r>
                    <w:rPr>
                      <w:rFonts w:ascii="Times New Roman" w:hAnsi="Times New Roman"/>
                      <w:b/>
                      <w:bCs/>
                      <w:kern w:val="2"/>
                      <w:sz w:val="18"/>
                      <w:szCs w:val="18"/>
                    </w:rPr>
                    <w:t>Y</w:t>
                  </w:r>
                </w:p>
              </w:tc>
              <w:tc>
                <w:tcPr>
                  <w:tcW w:w="729" w:type="dxa"/>
                  <w:noWrap w:val="0"/>
                  <w:vAlign w:val="center"/>
                </w:tcPr>
                <w:p>
                  <w:pPr>
                    <w:pStyle w:val="17"/>
                    <w:spacing w:before="0" w:beforeAutospacing="0" w:after="0" w:afterAutospacing="0"/>
                    <w:jc w:val="center"/>
                    <w:outlineLvl w:val="0"/>
                    <w:rPr>
                      <w:rFonts w:ascii="Times New Roman" w:hAnsi="Times New Roman"/>
                      <w:b/>
                      <w:bCs/>
                      <w:kern w:val="2"/>
                      <w:sz w:val="18"/>
                      <w:szCs w:val="18"/>
                    </w:rPr>
                  </w:pPr>
                  <w:r>
                    <w:rPr>
                      <w:rFonts w:ascii="Times New Roman" w:hAnsi="Times New Roman"/>
                      <w:b/>
                      <w:bCs/>
                      <w:kern w:val="2"/>
                      <w:sz w:val="18"/>
                      <w:szCs w:val="18"/>
                    </w:rPr>
                    <w:t>Z</w:t>
                  </w:r>
                </w:p>
              </w:tc>
              <w:tc>
                <w:tcPr>
                  <w:tcW w:w="2186" w:type="dxa"/>
                  <w:noWrap w:val="0"/>
                  <w:vAlign w:val="center"/>
                </w:tcPr>
                <w:p>
                  <w:pPr>
                    <w:pStyle w:val="17"/>
                    <w:spacing w:before="0" w:beforeAutospacing="0" w:after="0" w:afterAutospacing="0"/>
                    <w:jc w:val="center"/>
                    <w:outlineLvl w:val="0"/>
                    <w:rPr>
                      <w:rFonts w:ascii="Times New Roman" w:hAnsi="Times New Roman"/>
                      <w:b/>
                      <w:bCs/>
                      <w:kern w:val="2"/>
                      <w:sz w:val="18"/>
                      <w:szCs w:val="18"/>
                    </w:rPr>
                  </w:pPr>
                  <w:r>
                    <w:rPr>
                      <w:rFonts w:ascii="Times New Roman" w:hAnsi="Times New Roman"/>
                      <w:b/>
                      <w:bCs/>
                      <w:snapToGrid w:val="0"/>
                      <w:sz w:val="18"/>
                      <w:szCs w:val="18"/>
                    </w:rPr>
                    <w:t>声功率级/dB(A)</w:t>
                  </w:r>
                </w:p>
              </w:tc>
              <w:tc>
                <w:tcPr>
                  <w:tcW w:w="2488" w:type="dxa"/>
                  <w:vMerge w:val="continue"/>
                  <w:noWrap w:val="0"/>
                  <w:vAlign w:val="center"/>
                </w:tcPr>
                <w:p>
                  <w:pPr>
                    <w:pStyle w:val="17"/>
                    <w:spacing w:before="0" w:beforeAutospacing="0" w:after="0" w:afterAutospacing="0"/>
                    <w:jc w:val="center"/>
                    <w:outlineLvl w:val="0"/>
                    <w:rPr>
                      <w:rFonts w:ascii="Times New Roman" w:hAnsi="Times New Roman"/>
                      <w:b/>
                      <w:bCs/>
                      <w:kern w:val="2"/>
                      <w:sz w:val="18"/>
                      <w:szCs w:val="18"/>
                    </w:rPr>
                  </w:pPr>
                </w:p>
              </w:tc>
              <w:tc>
                <w:tcPr>
                  <w:tcW w:w="1614" w:type="dxa"/>
                  <w:vMerge w:val="continue"/>
                  <w:noWrap w:val="0"/>
                  <w:vAlign w:val="center"/>
                </w:tcPr>
                <w:p>
                  <w:pPr>
                    <w:pStyle w:val="17"/>
                    <w:spacing w:before="0" w:beforeAutospacing="0" w:after="0" w:afterAutospacing="0"/>
                    <w:jc w:val="center"/>
                    <w:outlineLvl w:val="0"/>
                    <w:rPr>
                      <w:rFonts w:ascii="Times New Roman" w:hAnsi="Times New Roman"/>
                      <w:b/>
                      <w:bCs/>
                      <w:kern w:val="2"/>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30" w:type="dxa"/>
                  <w:noWrap w:val="0"/>
                  <w:vAlign w:val="center"/>
                </w:tcPr>
                <w:p>
                  <w:pPr>
                    <w:pStyle w:val="17"/>
                    <w:spacing w:before="0" w:beforeAutospacing="0" w:after="0" w:afterAutospacing="0"/>
                    <w:jc w:val="center"/>
                    <w:outlineLvl w:val="0"/>
                    <w:rPr>
                      <w:rFonts w:ascii="Times New Roman" w:hAnsi="Times New Roman"/>
                      <w:kern w:val="2"/>
                      <w:sz w:val="18"/>
                      <w:szCs w:val="18"/>
                    </w:rPr>
                  </w:pPr>
                  <w:r>
                    <w:rPr>
                      <w:rFonts w:ascii="Times New Roman" w:hAnsi="Times New Roman"/>
                      <w:kern w:val="2"/>
                      <w:sz w:val="18"/>
                      <w:szCs w:val="18"/>
                    </w:rPr>
                    <w:t>1</w:t>
                  </w:r>
                </w:p>
              </w:tc>
              <w:tc>
                <w:tcPr>
                  <w:tcW w:w="2410" w:type="dxa"/>
                  <w:noWrap w:val="0"/>
                  <w:vAlign w:val="center"/>
                </w:tcPr>
                <w:p>
                  <w:pPr>
                    <w:pStyle w:val="17"/>
                    <w:spacing w:before="0" w:beforeAutospacing="0" w:after="0" w:afterAutospacing="0"/>
                    <w:jc w:val="center"/>
                    <w:outlineLvl w:val="0"/>
                    <w:rPr>
                      <w:rFonts w:ascii="Times New Roman" w:hAnsi="Times New Roman"/>
                      <w:kern w:val="2"/>
                      <w:sz w:val="18"/>
                      <w:szCs w:val="18"/>
                    </w:rPr>
                  </w:pPr>
                  <w:r>
                    <w:rPr>
                      <w:rFonts w:ascii="Times New Roman" w:hAnsi="Times New Roman"/>
                      <w:kern w:val="2"/>
                      <w:sz w:val="18"/>
                      <w:szCs w:val="18"/>
                    </w:rPr>
                    <w:t>活性炭吸附装置配套风机</w:t>
                  </w:r>
                </w:p>
              </w:tc>
              <w:tc>
                <w:tcPr>
                  <w:tcW w:w="664" w:type="dxa"/>
                  <w:noWrap w:val="0"/>
                  <w:vAlign w:val="center"/>
                </w:tcPr>
                <w:p>
                  <w:pPr>
                    <w:pStyle w:val="17"/>
                    <w:spacing w:before="0" w:beforeAutospacing="0" w:after="0" w:afterAutospacing="0"/>
                    <w:jc w:val="center"/>
                    <w:outlineLvl w:val="0"/>
                    <w:rPr>
                      <w:rFonts w:ascii="Times New Roman" w:hAnsi="Times New Roman"/>
                      <w:kern w:val="2"/>
                      <w:sz w:val="18"/>
                      <w:szCs w:val="18"/>
                    </w:rPr>
                  </w:pPr>
                  <w:r>
                    <w:rPr>
                      <w:rFonts w:ascii="Times New Roman" w:hAnsi="Times New Roman"/>
                      <w:kern w:val="2"/>
                      <w:sz w:val="18"/>
                      <w:szCs w:val="18"/>
                    </w:rPr>
                    <w:t>/</w:t>
                  </w:r>
                </w:p>
              </w:tc>
              <w:tc>
                <w:tcPr>
                  <w:tcW w:w="1338" w:type="dxa"/>
                  <w:noWrap w:val="0"/>
                  <w:vAlign w:val="center"/>
                </w:tcPr>
                <w:p>
                  <w:pPr>
                    <w:pStyle w:val="17"/>
                    <w:spacing w:before="0" w:beforeAutospacing="0" w:after="0" w:afterAutospacing="0"/>
                    <w:jc w:val="center"/>
                    <w:outlineLvl w:val="0"/>
                    <w:rPr>
                      <w:rFonts w:hint="default" w:ascii="Times New Roman" w:hAnsi="Times New Roman" w:eastAsia="宋体"/>
                      <w:kern w:val="2"/>
                      <w:sz w:val="18"/>
                      <w:szCs w:val="18"/>
                      <w:lang w:val="en-US" w:eastAsia="zh-CN"/>
                    </w:rPr>
                  </w:pPr>
                  <w:r>
                    <w:rPr>
                      <w:rFonts w:hint="eastAsia" w:ascii="Times New Roman" w:hAnsi="Times New Roman"/>
                      <w:kern w:val="2"/>
                      <w:sz w:val="18"/>
                      <w:szCs w:val="18"/>
                      <w:lang w:val="en-US" w:eastAsia="zh-CN"/>
                    </w:rPr>
                    <w:t>10</w:t>
                  </w:r>
                </w:p>
              </w:tc>
              <w:tc>
                <w:tcPr>
                  <w:tcW w:w="1425" w:type="dxa"/>
                  <w:noWrap w:val="0"/>
                  <w:vAlign w:val="center"/>
                </w:tcPr>
                <w:p>
                  <w:pPr>
                    <w:pStyle w:val="17"/>
                    <w:spacing w:before="0" w:beforeAutospacing="0" w:after="0" w:afterAutospacing="0"/>
                    <w:jc w:val="center"/>
                    <w:outlineLvl w:val="0"/>
                    <w:rPr>
                      <w:rFonts w:hint="default" w:ascii="Times New Roman" w:hAnsi="Times New Roman" w:eastAsia="宋体"/>
                      <w:kern w:val="2"/>
                      <w:sz w:val="18"/>
                      <w:szCs w:val="18"/>
                      <w:lang w:val="en-US" w:eastAsia="zh-CN"/>
                    </w:rPr>
                  </w:pPr>
                  <w:r>
                    <w:rPr>
                      <w:rFonts w:hint="eastAsia" w:ascii="Times New Roman" w:hAnsi="Times New Roman"/>
                      <w:kern w:val="2"/>
                      <w:sz w:val="18"/>
                      <w:szCs w:val="18"/>
                      <w:lang w:val="en-US" w:eastAsia="zh-CN"/>
                    </w:rPr>
                    <w:t>14</w:t>
                  </w:r>
                </w:p>
              </w:tc>
              <w:tc>
                <w:tcPr>
                  <w:tcW w:w="729" w:type="dxa"/>
                  <w:noWrap w:val="0"/>
                  <w:vAlign w:val="center"/>
                </w:tcPr>
                <w:p>
                  <w:pPr>
                    <w:pStyle w:val="17"/>
                    <w:spacing w:before="0" w:beforeAutospacing="0" w:after="0" w:afterAutospacing="0"/>
                    <w:jc w:val="center"/>
                    <w:outlineLvl w:val="0"/>
                    <w:rPr>
                      <w:rFonts w:ascii="Times New Roman" w:hAnsi="Times New Roman"/>
                      <w:kern w:val="2"/>
                      <w:sz w:val="18"/>
                      <w:szCs w:val="18"/>
                    </w:rPr>
                  </w:pPr>
                  <w:r>
                    <w:rPr>
                      <w:rFonts w:ascii="Times New Roman" w:hAnsi="Times New Roman"/>
                      <w:kern w:val="2"/>
                      <w:sz w:val="18"/>
                      <w:szCs w:val="18"/>
                    </w:rPr>
                    <w:t>0.1</w:t>
                  </w:r>
                </w:p>
              </w:tc>
              <w:tc>
                <w:tcPr>
                  <w:tcW w:w="2186" w:type="dxa"/>
                  <w:noWrap w:val="0"/>
                  <w:vAlign w:val="center"/>
                </w:tcPr>
                <w:p>
                  <w:pPr>
                    <w:pStyle w:val="17"/>
                    <w:spacing w:before="0" w:beforeAutospacing="0" w:after="0" w:afterAutospacing="0"/>
                    <w:jc w:val="center"/>
                    <w:outlineLvl w:val="0"/>
                    <w:rPr>
                      <w:rFonts w:ascii="Times New Roman" w:hAnsi="Times New Roman"/>
                      <w:kern w:val="2"/>
                      <w:sz w:val="18"/>
                      <w:szCs w:val="18"/>
                    </w:rPr>
                  </w:pPr>
                  <w:r>
                    <w:rPr>
                      <w:rFonts w:ascii="Times New Roman" w:hAnsi="Times New Roman"/>
                      <w:kern w:val="2"/>
                      <w:sz w:val="18"/>
                      <w:szCs w:val="18"/>
                    </w:rPr>
                    <w:t>85</w:t>
                  </w:r>
                </w:p>
              </w:tc>
              <w:tc>
                <w:tcPr>
                  <w:tcW w:w="2488" w:type="dxa"/>
                  <w:noWrap w:val="0"/>
                  <w:vAlign w:val="center"/>
                </w:tcPr>
                <w:p>
                  <w:pPr>
                    <w:pStyle w:val="17"/>
                    <w:spacing w:before="0" w:beforeAutospacing="0" w:after="0" w:afterAutospacing="0"/>
                    <w:jc w:val="center"/>
                    <w:outlineLvl w:val="0"/>
                    <w:rPr>
                      <w:rFonts w:ascii="Times New Roman" w:hAnsi="Times New Roman"/>
                      <w:kern w:val="2"/>
                      <w:sz w:val="18"/>
                      <w:szCs w:val="18"/>
                    </w:rPr>
                  </w:pPr>
                  <w:r>
                    <w:rPr>
                      <w:rFonts w:ascii="Times New Roman" w:hAnsi="Times New Roman"/>
                      <w:kern w:val="2"/>
                      <w:sz w:val="18"/>
                      <w:szCs w:val="18"/>
                    </w:rPr>
                    <w:t>采取减振等降噪措施</w:t>
                  </w:r>
                </w:p>
              </w:tc>
              <w:tc>
                <w:tcPr>
                  <w:tcW w:w="1614" w:type="dxa"/>
                  <w:noWrap w:val="0"/>
                  <w:vAlign w:val="center"/>
                </w:tcPr>
                <w:p>
                  <w:pPr>
                    <w:pStyle w:val="17"/>
                    <w:spacing w:before="0" w:beforeAutospacing="0" w:after="0" w:afterAutospacing="0"/>
                    <w:jc w:val="center"/>
                    <w:outlineLvl w:val="0"/>
                    <w:rPr>
                      <w:rFonts w:ascii="Times New Roman" w:hAnsi="Times New Roman"/>
                      <w:kern w:val="2"/>
                      <w:sz w:val="18"/>
                      <w:szCs w:val="18"/>
                    </w:rPr>
                  </w:pPr>
                  <w:r>
                    <w:rPr>
                      <w:rFonts w:ascii="Times New Roman" w:hAnsi="Times New Roman"/>
                      <w:snapToGrid w:val="0"/>
                      <w:sz w:val="18"/>
                      <w:szCs w:val="18"/>
                    </w:rPr>
                    <w:t>9:00-17:00</w:t>
                  </w:r>
                </w:p>
              </w:tc>
            </w:tr>
          </w:tbl>
          <w:p>
            <w:pPr>
              <w:pStyle w:val="17"/>
              <w:spacing w:before="0" w:beforeAutospacing="0" w:after="0" w:afterAutospacing="0"/>
              <w:outlineLvl w:val="0"/>
              <w:rPr>
                <w:rFonts w:ascii="Times New Roman" w:hAnsi="Times New Roman"/>
              </w:rPr>
            </w:pPr>
            <w:r>
              <w:rPr>
                <w:rFonts w:ascii="Times New Roman" w:hAnsi="Times New Roman"/>
                <w:b/>
                <w:bCs/>
                <w:kern w:val="2"/>
                <w:sz w:val="18"/>
                <w:szCs w:val="18"/>
              </w:rPr>
              <w:t>注：本项目设置厂房一西南角为坐标原点。</w:t>
            </w:r>
          </w:p>
        </w:tc>
      </w:tr>
    </w:tbl>
    <w:p>
      <w:pPr>
        <w:pStyle w:val="17"/>
        <w:jc w:val="both"/>
        <w:outlineLvl w:val="0"/>
        <w:rPr>
          <w:rFonts w:hint="eastAsia" w:ascii="黑体" w:hAnsi="黑体" w:eastAsia="黑体"/>
          <w:snapToGrid w:val="0"/>
          <w:sz w:val="30"/>
          <w:szCs w:val="30"/>
        </w:rPr>
      </w:pPr>
    </w:p>
    <w:p>
      <w:pPr>
        <w:pStyle w:val="17"/>
        <w:jc w:val="center"/>
        <w:outlineLvl w:val="0"/>
        <w:rPr>
          <w:rFonts w:hint="eastAsia" w:ascii="黑体" w:hAnsi="黑体" w:eastAsia="黑体"/>
          <w:snapToGrid w:val="0"/>
          <w:sz w:val="30"/>
          <w:szCs w:val="30"/>
        </w:rPr>
        <w:sectPr>
          <w:pgSz w:w="16838" w:h="11905" w:orient="landscape"/>
          <w:pgMar w:top="1531" w:right="1701" w:bottom="1531" w:left="1701" w:header="851" w:footer="850" w:gutter="0"/>
          <w:pgBorders>
            <w:top w:val="none" w:sz="0" w:space="0"/>
            <w:left w:val="none" w:sz="0" w:space="0"/>
            <w:bottom w:val="none" w:sz="0" w:space="0"/>
            <w:right w:val="none" w:sz="0" w:space="0"/>
          </w:pgBorders>
          <w:cols w:space="0" w:num="1"/>
          <w:rtlGutter w:val="0"/>
          <w:docGrid w:linePitch="312" w:charSpace="0"/>
        </w:sectPr>
      </w:pPr>
    </w:p>
    <w:tbl>
      <w:tblPr>
        <w:tblStyle w:val="21"/>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70" w:hRule="atLeast"/>
          <w:jc w:val="center"/>
        </w:trPr>
        <w:tc>
          <w:tcPr>
            <w:tcW w:w="823" w:type="dxa"/>
            <w:noWrap w:val="0"/>
            <w:vAlign w:val="center"/>
          </w:tcPr>
          <w:p>
            <w:pPr>
              <w:pStyle w:val="17"/>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运营</w:t>
            </w:r>
          </w:p>
          <w:p>
            <w:pPr>
              <w:pStyle w:val="17"/>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期环</w:t>
            </w:r>
          </w:p>
          <w:p>
            <w:pPr>
              <w:pStyle w:val="17"/>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境影</w:t>
            </w:r>
          </w:p>
          <w:p>
            <w:pPr>
              <w:pStyle w:val="17"/>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响和</w:t>
            </w:r>
          </w:p>
          <w:p>
            <w:pPr>
              <w:pStyle w:val="17"/>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保护</w:t>
            </w:r>
          </w:p>
          <w:p>
            <w:pPr>
              <w:pStyle w:val="17"/>
              <w:adjustRightInd w:val="0"/>
              <w:snapToGrid w:val="0"/>
              <w:spacing w:before="0" w:beforeAutospacing="0" w:after="0" w:afterAutospacing="0"/>
              <w:jc w:val="center"/>
              <w:rPr>
                <w:rFonts w:ascii="Times New Roman" w:hAnsi="Times New Roman"/>
                <w:sz w:val="21"/>
                <w:szCs w:val="21"/>
              </w:rPr>
            </w:pPr>
            <w:r>
              <w:rPr>
                <w:rFonts w:ascii="Times New Roman" w:hAnsi="Times New Roman"/>
                <w:sz w:val="21"/>
                <w:szCs w:val="21"/>
              </w:rPr>
              <w:t>措施</w:t>
            </w:r>
          </w:p>
        </w:tc>
        <w:tc>
          <w:tcPr>
            <w:tcW w:w="8161" w:type="dxa"/>
            <w:noWrap w:val="0"/>
            <w:vAlign w:val="top"/>
          </w:tcPr>
          <w:p>
            <w:pPr>
              <w:spacing w:line="480" w:lineRule="exact"/>
              <w:ind w:firstLine="422" w:firstLineChars="200"/>
              <w:rPr>
                <w:b/>
                <w:bCs/>
              </w:rPr>
            </w:pPr>
            <w:r>
              <w:rPr>
                <w:b/>
                <w:bCs/>
              </w:rPr>
              <w:t>3、噪声环境影响预测</w:t>
            </w:r>
          </w:p>
          <w:p>
            <w:pPr>
              <w:spacing w:line="480" w:lineRule="exact"/>
              <w:ind w:firstLine="420" w:firstLineChars="200"/>
              <w:rPr>
                <w:szCs w:val="21"/>
              </w:rPr>
            </w:pPr>
            <w:r>
              <w:rPr>
                <w:szCs w:val="21"/>
              </w:rPr>
              <w:t>噪声源对厂界噪声的影响预测结果见表4-21。</w:t>
            </w:r>
          </w:p>
          <w:p>
            <w:pPr>
              <w:pStyle w:val="8"/>
              <w:widowControl w:val="0"/>
              <w:snapToGrid/>
              <w:spacing w:before="0" w:after="0" w:line="480" w:lineRule="exact"/>
              <w:ind w:right="0"/>
              <w:jc w:val="center"/>
              <w:rPr>
                <w:b/>
                <w:bCs/>
                <w:szCs w:val="18"/>
              </w:rPr>
            </w:pPr>
            <w:r>
              <w:rPr>
                <w:b/>
                <w:bCs/>
                <w:szCs w:val="18"/>
              </w:rPr>
              <w:t>表4-21  噪声影响预测结果表</w:t>
            </w:r>
            <w:r>
              <w:rPr>
                <w:b/>
                <w:bCs/>
                <w:szCs w:val="18"/>
              </w:rPr>
              <w:tab/>
            </w:r>
            <w:r>
              <w:rPr>
                <w:b/>
                <w:bCs/>
                <w:szCs w:val="18"/>
              </w:rPr>
              <w:t>单位：dB（A）</w:t>
            </w:r>
          </w:p>
          <w:tbl>
            <w:tblPr>
              <w:tblStyle w:val="21"/>
              <w:tblW w:w="7942" w:type="dxa"/>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139"/>
              <w:gridCol w:w="2419"/>
              <w:gridCol w:w="2120"/>
              <w:gridCol w:w="1264"/>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882" w:hRule="exact"/>
              </w:trPr>
              <w:tc>
                <w:tcPr>
                  <w:tcW w:w="2139" w:type="dxa"/>
                  <w:noWrap w:val="0"/>
                  <w:tcMar>
                    <w:top w:w="0" w:type="dxa"/>
                    <w:left w:w="57" w:type="dxa"/>
                    <w:bottom w:w="0" w:type="dxa"/>
                    <w:right w:w="57" w:type="dxa"/>
                  </w:tcMar>
                  <w:vAlign w:val="center"/>
                </w:tcPr>
                <w:p>
                  <w:pPr>
                    <w:pStyle w:val="32"/>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预测点</w:t>
                  </w:r>
                </w:p>
              </w:tc>
              <w:tc>
                <w:tcPr>
                  <w:tcW w:w="2419" w:type="dxa"/>
                  <w:noWrap w:val="0"/>
                  <w:tcMar>
                    <w:top w:w="0" w:type="dxa"/>
                    <w:left w:w="57" w:type="dxa"/>
                    <w:bottom w:w="0" w:type="dxa"/>
                    <w:right w:w="57" w:type="dxa"/>
                  </w:tcMar>
                  <w:vAlign w:val="center"/>
                </w:tcPr>
                <w:p>
                  <w:pPr>
                    <w:pStyle w:val="32"/>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噪声在厂界处贡献值/</w:t>
                  </w:r>
                  <w:r>
                    <w:rPr>
                      <w:b/>
                      <w:bCs/>
                      <w:snapToGrid w:val="0"/>
                      <w:color w:val="000000" w:themeColor="text1"/>
                      <w:sz w:val="18"/>
                      <w:szCs w:val="18"/>
                      <w14:textFill>
                        <w14:solidFill>
                          <w14:schemeClr w14:val="tx1"/>
                        </w14:solidFill>
                      </w14:textFill>
                    </w:rPr>
                    <w:t>dB(A)</w:t>
                  </w:r>
                </w:p>
              </w:tc>
              <w:tc>
                <w:tcPr>
                  <w:tcW w:w="2120" w:type="dxa"/>
                  <w:noWrap w:val="0"/>
                  <w:tcMar>
                    <w:top w:w="0" w:type="dxa"/>
                    <w:left w:w="57" w:type="dxa"/>
                    <w:bottom w:w="0" w:type="dxa"/>
                    <w:right w:w="57" w:type="dxa"/>
                  </w:tcMar>
                  <w:vAlign w:val="center"/>
                </w:tcPr>
                <w:p>
                  <w:pPr>
                    <w:pStyle w:val="32"/>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昼间噪声标准/</w:t>
                  </w:r>
                  <w:r>
                    <w:rPr>
                      <w:b/>
                      <w:bCs/>
                      <w:snapToGrid w:val="0"/>
                      <w:color w:val="000000" w:themeColor="text1"/>
                      <w:sz w:val="18"/>
                      <w:szCs w:val="18"/>
                      <w14:textFill>
                        <w14:solidFill>
                          <w14:schemeClr w14:val="tx1"/>
                        </w14:solidFill>
                      </w14:textFill>
                    </w:rPr>
                    <w:t>dB(A)</w:t>
                  </w:r>
                </w:p>
              </w:tc>
              <w:tc>
                <w:tcPr>
                  <w:tcW w:w="1264" w:type="dxa"/>
                  <w:noWrap w:val="0"/>
                  <w:tcMar>
                    <w:top w:w="0" w:type="dxa"/>
                    <w:left w:w="57" w:type="dxa"/>
                    <w:bottom w:w="0" w:type="dxa"/>
                    <w:right w:w="57" w:type="dxa"/>
                  </w:tcMar>
                  <w:vAlign w:val="center"/>
                </w:tcPr>
                <w:p>
                  <w:pPr>
                    <w:pStyle w:val="32"/>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达标情况</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15" w:hRule="exact"/>
              </w:trPr>
              <w:tc>
                <w:tcPr>
                  <w:tcW w:w="2139" w:type="dxa"/>
                  <w:noWrap w:val="0"/>
                  <w:tcMar>
                    <w:top w:w="0" w:type="dxa"/>
                    <w:left w:w="57" w:type="dxa"/>
                    <w:bottom w:w="0" w:type="dxa"/>
                    <w:right w:w="57"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东厂界（厂界外1m）</w:t>
                  </w:r>
                </w:p>
              </w:tc>
              <w:tc>
                <w:tcPr>
                  <w:tcW w:w="2419" w:type="dxa"/>
                  <w:noWrap w:val="0"/>
                  <w:tcMar>
                    <w:top w:w="0" w:type="dxa"/>
                    <w:left w:w="57" w:type="dxa"/>
                    <w:bottom w:w="0" w:type="dxa"/>
                    <w:right w:w="57" w:type="dxa"/>
                  </w:tcMar>
                  <w:vAlign w:val="center"/>
                </w:tcPr>
                <w:p>
                  <w:pPr>
                    <w:widowControl/>
                    <w:jc w:val="center"/>
                    <w:textAlignment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29.22</w:t>
                  </w:r>
                </w:p>
              </w:tc>
              <w:tc>
                <w:tcPr>
                  <w:tcW w:w="2120" w:type="dxa"/>
                  <w:noWrap w:val="0"/>
                  <w:tcMar>
                    <w:top w:w="0" w:type="dxa"/>
                    <w:left w:w="57" w:type="dxa"/>
                    <w:bottom w:w="0" w:type="dxa"/>
                    <w:right w:w="57"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w:t>
                  </w:r>
                </w:p>
              </w:tc>
              <w:tc>
                <w:tcPr>
                  <w:tcW w:w="1264" w:type="dxa"/>
                  <w:noWrap w:val="0"/>
                  <w:tcMar>
                    <w:top w:w="0" w:type="dxa"/>
                    <w:left w:w="57" w:type="dxa"/>
                    <w:bottom w:w="0" w:type="dxa"/>
                    <w:right w:w="57"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62" w:hRule="exact"/>
              </w:trPr>
              <w:tc>
                <w:tcPr>
                  <w:tcW w:w="2139" w:type="dxa"/>
                  <w:noWrap w:val="0"/>
                  <w:tcMar>
                    <w:top w:w="0" w:type="dxa"/>
                    <w:left w:w="57" w:type="dxa"/>
                    <w:bottom w:w="0" w:type="dxa"/>
                    <w:right w:w="57" w:type="dxa"/>
                  </w:tcMar>
                  <w:vAlign w:val="center"/>
                </w:tcPr>
                <w:p>
                  <w:pPr>
                    <w:pStyle w:val="3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南厂界（厂界外1m）</w:t>
                  </w:r>
                </w:p>
              </w:tc>
              <w:tc>
                <w:tcPr>
                  <w:tcW w:w="2419" w:type="dxa"/>
                  <w:noWrap w:val="0"/>
                  <w:tcMar>
                    <w:top w:w="0" w:type="dxa"/>
                    <w:left w:w="57" w:type="dxa"/>
                    <w:bottom w:w="0" w:type="dxa"/>
                    <w:right w:w="57" w:type="dxa"/>
                  </w:tcMar>
                  <w:vAlign w:val="center"/>
                </w:tcPr>
                <w:p>
                  <w:pPr>
                    <w:widowControl/>
                    <w:jc w:val="center"/>
                    <w:textAlignment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6.69</w:t>
                  </w:r>
                </w:p>
              </w:tc>
              <w:tc>
                <w:tcPr>
                  <w:tcW w:w="2120" w:type="dxa"/>
                  <w:noWrap w:val="0"/>
                  <w:tcMar>
                    <w:top w:w="0" w:type="dxa"/>
                    <w:left w:w="57" w:type="dxa"/>
                    <w:bottom w:w="0" w:type="dxa"/>
                    <w:right w:w="57" w:type="dxa"/>
                  </w:tcMar>
                  <w:vAlign w:val="center"/>
                </w:tcPr>
                <w:p>
                  <w:pPr>
                    <w:pStyle w:val="3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w:t>
                  </w:r>
                </w:p>
              </w:tc>
              <w:tc>
                <w:tcPr>
                  <w:tcW w:w="1264" w:type="dxa"/>
                  <w:noWrap w:val="0"/>
                  <w:tcMar>
                    <w:top w:w="0" w:type="dxa"/>
                    <w:left w:w="57" w:type="dxa"/>
                    <w:bottom w:w="0" w:type="dxa"/>
                    <w:right w:w="57" w:type="dxa"/>
                  </w:tcMar>
                  <w:vAlign w:val="center"/>
                </w:tcPr>
                <w:p>
                  <w:pPr>
                    <w:pStyle w:val="3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2" w:hRule="exact"/>
              </w:trPr>
              <w:tc>
                <w:tcPr>
                  <w:tcW w:w="2139" w:type="dxa"/>
                  <w:noWrap w:val="0"/>
                  <w:tcMar>
                    <w:top w:w="0" w:type="dxa"/>
                    <w:left w:w="57" w:type="dxa"/>
                    <w:bottom w:w="0" w:type="dxa"/>
                    <w:right w:w="57" w:type="dxa"/>
                  </w:tcMar>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西厂界（厂界外1m）</w:t>
                  </w:r>
                </w:p>
              </w:tc>
              <w:tc>
                <w:tcPr>
                  <w:tcW w:w="2419" w:type="dxa"/>
                  <w:noWrap w:val="0"/>
                  <w:tcMar>
                    <w:top w:w="0" w:type="dxa"/>
                    <w:left w:w="57" w:type="dxa"/>
                    <w:bottom w:w="0" w:type="dxa"/>
                    <w:right w:w="57" w:type="dxa"/>
                  </w:tcMar>
                  <w:vAlign w:val="center"/>
                </w:tcPr>
                <w:p>
                  <w:pPr>
                    <w:widowControl/>
                    <w:jc w:val="center"/>
                    <w:textAlignment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10.83</w:t>
                  </w:r>
                </w:p>
              </w:tc>
              <w:tc>
                <w:tcPr>
                  <w:tcW w:w="2120" w:type="dxa"/>
                  <w:noWrap w:val="0"/>
                  <w:tcMar>
                    <w:top w:w="0" w:type="dxa"/>
                    <w:left w:w="57" w:type="dxa"/>
                    <w:bottom w:w="0" w:type="dxa"/>
                    <w:right w:w="57" w:type="dxa"/>
                  </w:tcMar>
                  <w:vAlign w:val="center"/>
                </w:tcPr>
                <w:p>
                  <w:pPr>
                    <w:pStyle w:val="3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w:t>
                  </w:r>
                </w:p>
              </w:tc>
              <w:tc>
                <w:tcPr>
                  <w:tcW w:w="1264" w:type="dxa"/>
                  <w:noWrap w:val="0"/>
                  <w:tcMar>
                    <w:top w:w="0" w:type="dxa"/>
                    <w:left w:w="57" w:type="dxa"/>
                    <w:bottom w:w="0" w:type="dxa"/>
                    <w:right w:w="57" w:type="dxa"/>
                  </w:tcMar>
                  <w:vAlign w:val="center"/>
                </w:tcPr>
                <w:p>
                  <w:pPr>
                    <w:pStyle w:val="3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2" w:hRule="exact"/>
              </w:trPr>
              <w:tc>
                <w:tcPr>
                  <w:tcW w:w="2139" w:type="dxa"/>
                  <w:noWrap w:val="0"/>
                  <w:tcMar>
                    <w:top w:w="0" w:type="dxa"/>
                    <w:left w:w="57" w:type="dxa"/>
                    <w:bottom w:w="0" w:type="dxa"/>
                    <w:right w:w="57" w:type="dxa"/>
                  </w:tcMar>
                  <w:vAlign w:val="center"/>
                </w:tcPr>
                <w:p>
                  <w:pPr>
                    <w:pStyle w:val="3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北厂界（厂界外1m）</w:t>
                  </w:r>
                </w:p>
              </w:tc>
              <w:tc>
                <w:tcPr>
                  <w:tcW w:w="2419" w:type="dxa"/>
                  <w:noWrap w:val="0"/>
                  <w:tcMar>
                    <w:top w:w="0" w:type="dxa"/>
                    <w:left w:w="57" w:type="dxa"/>
                    <w:bottom w:w="0" w:type="dxa"/>
                    <w:right w:w="57" w:type="dxa"/>
                  </w:tcMar>
                  <w:vAlign w:val="center"/>
                </w:tcPr>
                <w:p>
                  <w:pPr>
                    <w:widowControl/>
                    <w:jc w:val="center"/>
                    <w:textAlignment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8.62</w:t>
                  </w:r>
                </w:p>
              </w:tc>
              <w:tc>
                <w:tcPr>
                  <w:tcW w:w="2120" w:type="dxa"/>
                  <w:noWrap w:val="0"/>
                  <w:tcMar>
                    <w:top w:w="0" w:type="dxa"/>
                    <w:left w:w="57" w:type="dxa"/>
                    <w:bottom w:w="0" w:type="dxa"/>
                    <w:right w:w="57" w:type="dxa"/>
                  </w:tcMar>
                  <w:vAlign w:val="center"/>
                </w:tcPr>
                <w:p>
                  <w:pPr>
                    <w:pStyle w:val="3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w:t>
                  </w:r>
                </w:p>
              </w:tc>
              <w:tc>
                <w:tcPr>
                  <w:tcW w:w="1264" w:type="dxa"/>
                  <w:noWrap w:val="0"/>
                  <w:tcMar>
                    <w:top w:w="0" w:type="dxa"/>
                    <w:left w:w="57" w:type="dxa"/>
                    <w:bottom w:w="0" w:type="dxa"/>
                    <w:right w:w="57" w:type="dxa"/>
                  </w:tcMar>
                  <w:vAlign w:val="center"/>
                </w:tcPr>
                <w:p>
                  <w:pPr>
                    <w:pStyle w:val="32"/>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bl>
          <w:p>
            <w:pPr>
              <w:spacing w:line="480" w:lineRule="exact"/>
              <w:ind w:firstLine="420" w:firstLineChars="200"/>
              <w:rPr>
                <w:szCs w:val="21"/>
              </w:rPr>
            </w:pPr>
            <w:r>
              <w:rPr>
                <w:szCs w:val="21"/>
              </w:rPr>
              <w:t>由预测结果可见，建设项目高噪声设备经合理布局、消声、减振、厂房隔声及距离衰减后，可使项目各厂界噪声达到《工业企业厂界环境噪声排放标准》（GB12348-2008）表1中3类声环境功能区环境噪声限值，即：昼间噪声值≤65dB（A）。</w:t>
            </w:r>
          </w:p>
          <w:p>
            <w:pPr>
              <w:spacing w:line="480" w:lineRule="exact"/>
              <w:ind w:firstLine="422" w:firstLineChars="200"/>
              <w:rPr>
                <w:b/>
                <w:bCs/>
                <w:szCs w:val="21"/>
              </w:rPr>
            </w:pPr>
            <w:r>
              <w:rPr>
                <w:b/>
                <w:bCs/>
                <w:szCs w:val="21"/>
              </w:rPr>
              <w:t xml:space="preserve">4、监测要求 </w:t>
            </w:r>
          </w:p>
          <w:p>
            <w:pPr>
              <w:spacing w:line="480" w:lineRule="exact"/>
              <w:ind w:firstLine="420" w:firstLineChars="200"/>
              <w:rPr>
                <w:szCs w:val="21"/>
              </w:rPr>
            </w:pPr>
            <w:r>
              <w:rPr>
                <w:szCs w:val="21"/>
              </w:rPr>
              <w:t>根据《排污单位自行监测技术指南 总则》（HJ819-2017），本项目噪声自行监测方案如下：</w:t>
            </w:r>
          </w:p>
          <w:p>
            <w:pPr>
              <w:tabs>
                <w:tab w:val="left" w:pos="3033"/>
              </w:tabs>
              <w:spacing w:line="480" w:lineRule="exact"/>
              <w:jc w:val="center"/>
              <w:rPr>
                <w:b/>
                <w:bCs/>
                <w:sz w:val="18"/>
                <w:szCs w:val="18"/>
              </w:rPr>
            </w:pPr>
            <w:r>
              <w:rPr>
                <w:b/>
                <w:bCs/>
                <w:sz w:val="18"/>
                <w:szCs w:val="18"/>
              </w:rPr>
              <w:t>表4-22 噪声监测计划表</w:t>
            </w:r>
          </w:p>
          <w:tbl>
            <w:tblPr>
              <w:tblStyle w:val="21"/>
              <w:tblW w:w="7945" w:type="dxa"/>
              <w:tblInd w:w="5"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970"/>
              <w:gridCol w:w="1820"/>
              <w:gridCol w:w="1529"/>
              <w:gridCol w:w="298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noWrap w:val="0"/>
                  <w:vAlign w:val="center"/>
                </w:tcPr>
                <w:p>
                  <w:pPr>
                    <w:jc w:val="center"/>
                    <w:rPr>
                      <w:b/>
                      <w:bCs/>
                      <w:sz w:val="18"/>
                      <w:szCs w:val="18"/>
                    </w:rPr>
                  </w:pPr>
                  <w:r>
                    <w:rPr>
                      <w:b/>
                      <w:bCs/>
                      <w:sz w:val="18"/>
                      <w:szCs w:val="18"/>
                    </w:rPr>
                    <w:t>序号</w:t>
                  </w:r>
                </w:p>
              </w:tc>
              <w:tc>
                <w:tcPr>
                  <w:tcW w:w="970" w:type="dxa"/>
                  <w:noWrap w:val="0"/>
                  <w:vAlign w:val="center"/>
                </w:tcPr>
                <w:p>
                  <w:pPr>
                    <w:jc w:val="center"/>
                    <w:rPr>
                      <w:b/>
                      <w:bCs/>
                      <w:sz w:val="18"/>
                      <w:szCs w:val="18"/>
                    </w:rPr>
                  </w:pPr>
                  <w:r>
                    <w:rPr>
                      <w:b/>
                      <w:bCs/>
                      <w:sz w:val="18"/>
                      <w:szCs w:val="18"/>
                    </w:rPr>
                    <w:t>监测点位</w:t>
                  </w:r>
                </w:p>
              </w:tc>
              <w:tc>
                <w:tcPr>
                  <w:tcW w:w="1820" w:type="dxa"/>
                  <w:noWrap w:val="0"/>
                  <w:vAlign w:val="center"/>
                </w:tcPr>
                <w:p>
                  <w:pPr>
                    <w:jc w:val="center"/>
                    <w:rPr>
                      <w:b/>
                      <w:bCs/>
                      <w:sz w:val="18"/>
                      <w:szCs w:val="18"/>
                    </w:rPr>
                  </w:pPr>
                  <w:r>
                    <w:rPr>
                      <w:b/>
                      <w:bCs/>
                      <w:sz w:val="18"/>
                      <w:szCs w:val="18"/>
                    </w:rPr>
                    <w:t>监测项目</w:t>
                  </w:r>
                </w:p>
              </w:tc>
              <w:tc>
                <w:tcPr>
                  <w:tcW w:w="1529" w:type="dxa"/>
                  <w:noWrap w:val="0"/>
                  <w:vAlign w:val="center"/>
                </w:tcPr>
                <w:p>
                  <w:pPr>
                    <w:jc w:val="center"/>
                    <w:rPr>
                      <w:b/>
                      <w:bCs/>
                      <w:sz w:val="18"/>
                      <w:szCs w:val="18"/>
                    </w:rPr>
                  </w:pPr>
                  <w:r>
                    <w:rPr>
                      <w:b/>
                      <w:bCs/>
                      <w:sz w:val="18"/>
                      <w:szCs w:val="18"/>
                    </w:rPr>
                    <w:t>监测频率</w:t>
                  </w:r>
                </w:p>
              </w:tc>
              <w:tc>
                <w:tcPr>
                  <w:tcW w:w="2984" w:type="dxa"/>
                  <w:noWrap w:val="0"/>
                  <w:vAlign w:val="center"/>
                </w:tcPr>
                <w:p>
                  <w:pPr>
                    <w:jc w:val="center"/>
                    <w:rPr>
                      <w:b/>
                      <w:bCs/>
                      <w:sz w:val="18"/>
                      <w:szCs w:val="18"/>
                    </w:rPr>
                  </w:pPr>
                  <w:r>
                    <w:rPr>
                      <w:b/>
                      <w:bCs/>
                      <w:sz w:val="18"/>
                      <w:szCs w:val="18"/>
                    </w:rPr>
                    <w:t>执行标准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noWrap w:val="0"/>
                  <w:vAlign w:val="center"/>
                </w:tcPr>
                <w:p>
                  <w:pPr>
                    <w:jc w:val="center"/>
                    <w:rPr>
                      <w:sz w:val="18"/>
                      <w:szCs w:val="18"/>
                    </w:rPr>
                  </w:pPr>
                  <w:r>
                    <w:rPr>
                      <w:sz w:val="18"/>
                      <w:szCs w:val="18"/>
                    </w:rPr>
                    <w:t>1</w:t>
                  </w:r>
                </w:p>
              </w:tc>
              <w:tc>
                <w:tcPr>
                  <w:tcW w:w="970" w:type="dxa"/>
                  <w:noWrap w:val="0"/>
                  <w:vAlign w:val="center"/>
                </w:tcPr>
                <w:p>
                  <w:pPr>
                    <w:jc w:val="center"/>
                    <w:rPr>
                      <w:sz w:val="18"/>
                      <w:szCs w:val="18"/>
                    </w:rPr>
                  </w:pPr>
                  <w:r>
                    <w:rPr>
                      <w:sz w:val="18"/>
                      <w:szCs w:val="18"/>
                    </w:rPr>
                    <w:t>东厂界</w:t>
                  </w:r>
                </w:p>
              </w:tc>
              <w:tc>
                <w:tcPr>
                  <w:tcW w:w="1820" w:type="dxa"/>
                  <w:noWrap w:val="0"/>
                  <w:vAlign w:val="center"/>
                </w:tcPr>
                <w:p>
                  <w:pPr>
                    <w:jc w:val="center"/>
                    <w:rPr>
                      <w:sz w:val="18"/>
                      <w:szCs w:val="18"/>
                    </w:rPr>
                  </w:pPr>
                  <w:r>
                    <w:rPr>
                      <w:sz w:val="18"/>
                      <w:szCs w:val="18"/>
                    </w:rPr>
                    <w:t>连续等效A声级</w:t>
                  </w:r>
                </w:p>
              </w:tc>
              <w:tc>
                <w:tcPr>
                  <w:tcW w:w="1529" w:type="dxa"/>
                  <w:noWrap w:val="0"/>
                  <w:vAlign w:val="center"/>
                </w:tcPr>
                <w:p>
                  <w:pPr>
                    <w:jc w:val="center"/>
                    <w:rPr>
                      <w:sz w:val="18"/>
                      <w:szCs w:val="18"/>
                    </w:rPr>
                  </w:pPr>
                  <w:r>
                    <w:rPr>
                      <w:sz w:val="18"/>
                      <w:szCs w:val="18"/>
                    </w:rPr>
                    <w:t>1次/季度</w:t>
                  </w:r>
                </w:p>
              </w:tc>
              <w:tc>
                <w:tcPr>
                  <w:tcW w:w="2984" w:type="dxa"/>
                  <w:vMerge w:val="restart"/>
                  <w:noWrap w:val="0"/>
                  <w:vAlign w:val="center"/>
                </w:tcPr>
                <w:p>
                  <w:pPr>
                    <w:jc w:val="center"/>
                    <w:rPr>
                      <w:sz w:val="18"/>
                      <w:szCs w:val="18"/>
                    </w:rPr>
                  </w:pPr>
                  <w:r>
                    <w:rPr>
                      <w:sz w:val="18"/>
                      <w:szCs w:val="18"/>
                    </w:rPr>
                    <w:t>《工业企业厂界环境噪声排放标准》（GB12348-2008）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noWrap w:val="0"/>
                  <w:vAlign w:val="center"/>
                </w:tcPr>
                <w:p>
                  <w:pPr>
                    <w:jc w:val="center"/>
                    <w:rPr>
                      <w:sz w:val="18"/>
                      <w:szCs w:val="18"/>
                    </w:rPr>
                  </w:pPr>
                  <w:r>
                    <w:rPr>
                      <w:sz w:val="18"/>
                      <w:szCs w:val="18"/>
                    </w:rPr>
                    <w:t>2</w:t>
                  </w:r>
                </w:p>
              </w:tc>
              <w:tc>
                <w:tcPr>
                  <w:tcW w:w="970" w:type="dxa"/>
                  <w:noWrap w:val="0"/>
                  <w:vAlign w:val="center"/>
                </w:tcPr>
                <w:p>
                  <w:pPr>
                    <w:pStyle w:val="32"/>
                    <w:jc w:val="center"/>
                    <w:rPr>
                      <w:sz w:val="18"/>
                      <w:szCs w:val="18"/>
                    </w:rPr>
                  </w:pPr>
                  <w:r>
                    <w:rPr>
                      <w:sz w:val="18"/>
                      <w:szCs w:val="18"/>
                    </w:rPr>
                    <w:t>南厂界</w:t>
                  </w:r>
                </w:p>
              </w:tc>
              <w:tc>
                <w:tcPr>
                  <w:tcW w:w="1820" w:type="dxa"/>
                  <w:noWrap w:val="0"/>
                  <w:vAlign w:val="center"/>
                </w:tcPr>
                <w:p>
                  <w:pPr>
                    <w:jc w:val="center"/>
                    <w:rPr>
                      <w:sz w:val="18"/>
                      <w:szCs w:val="18"/>
                    </w:rPr>
                  </w:pPr>
                  <w:r>
                    <w:rPr>
                      <w:sz w:val="18"/>
                      <w:szCs w:val="18"/>
                    </w:rPr>
                    <w:t>连续等效A声级</w:t>
                  </w:r>
                </w:p>
              </w:tc>
              <w:tc>
                <w:tcPr>
                  <w:tcW w:w="1529" w:type="dxa"/>
                  <w:noWrap w:val="0"/>
                  <w:vAlign w:val="center"/>
                </w:tcPr>
                <w:p>
                  <w:pPr>
                    <w:jc w:val="center"/>
                    <w:rPr>
                      <w:sz w:val="18"/>
                      <w:szCs w:val="18"/>
                    </w:rPr>
                  </w:pPr>
                  <w:r>
                    <w:rPr>
                      <w:sz w:val="18"/>
                      <w:szCs w:val="18"/>
                    </w:rPr>
                    <w:t>1次/季度</w:t>
                  </w:r>
                </w:p>
              </w:tc>
              <w:tc>
                <w:tcPr>
                  <w:tcW w:w="2984" w:type="dxa"/>
                  <w:vMerge w:val="continue"/>
                  <w:noWrap w:val="0"/>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noWrap w:val="0"/>
                  <w:vAlign w:val="center"/>
                </w:tcPr>
                <w:p>
                  <w:pPr>
                    <w:jc w:val="center"/>
                    <w:rPr>
                      <w:sz w:val="18"/>
                      <w:szCs w:val="18"/>
                    </w:rPr>
                  </w:pPr>
                  <w:r>
                    <w:rPr>
                      <w:sz w:val="18"/>
                      <w:szCs w:val="18"/>
                    </w:rPr>
                    <w:t>3</w:t>
                  </w:r>
                </w:p>
              </w:tc>
              <w:tc>
                <w:tcPr>
                  <w:tcW w:w="970" w:type="dxa"/>
                  <w:noWrap w:val="0"/>
                  <w:vAlign w:val="center"/>
                </w:tcPr>
                <w:p>
                  <w:pPr>
                    <w:jc w:val="center"/>
                    <w:rPr>
                      <w:sz w:val="18"/>
                      <w:szCs w:val="18"/>
                    </w:rPr>
                  </w:pPr>
                  <w:r>
                    <w:rPr>
                      <w:sz w:val="18"/>
                      <w:szCs w:val="18"/>
                    </w:rPr>
                    <w:t>西厂界</w:t>
                  </w:r>
                </w:p>
              </w:tc>
              <w:tc>
                <w:tcPr>
                  <w:tcW w:w="1820" w:type="dxa"/>
                  <w:noWrap w:val="0"/>
                  <w:vAlign w:val="center"/>
                </w:tcPr>
                <w:p>
                  <w:pPr>
                    <w:jc w:val="center"/>
                    <w:rPr>
                      <w:sz w:val="18"/>
                      <w:szCs w:val="18"/>
                    </w:rPr>
                  </w:pPr>
                  <w:r>
                    <w:rPr>
                      <w:sz w:val="18"/>
                      <w:szCs w:val="18"/>
                    </w:rPr>
                    <w:t>连续等效A声级</w:t>
                  </w:r>
                </w:p>
              </w:tc>
              <w:tc>
                <w:tcPr>
                  <w:tcW w:w="1529" w:type="dxa"/>
                  <w:noWrap w:val="0"/>
                  <w:vAlign w:val="center"/>
                </w:tcPr>
                <w:p>
                  <w:pPr>
                    <w:jc w:val="center"/>
                    <w:rPr>
                      <w:sz w:val="18"/>
                      <w:szCs w:val="18"/>
                    </w:rPr>
                  </w:pPr>
                  <w:r>
                    <w:rPr>
                      <w:sz w:val="18"/>
                      <w:szCs w:val="18"/>
                    </w:rPr>
                    <w:t>1次/季度</w:t>
                  </w:r>
                </w:p>
              </w:tc>
              <w:tc>
                <w:tcPr>
                  <w:tcW w:w="2984" w:type="dxa"/>
                  <w:vMerge w:val="continue"/>
                  <w:noWrap w:val="0"/>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2" w:type="dxa"/>
                  <w:noWrap w:val="0"/>
                  <w:vAlign w:val="center"/>
                </w:tcPr>
                <w:p>
                  <w:pPr>
                    <w:jc w:val="center"/>
                    <w:rPr>
                      <w:sz w:val="18"/>
                      <w:szCs w:val="18"/>
                    </w:rPr>
                  </w:pPr>
                  <w:r>
                    <w:rPr>
                      <w:sz w:val="18"/>
                      <w:szCs w:val="18"/>
                    </w:rPr>
                    <w:t>4</w:t>
                  </w:r>
                </w:p>
              </w:tc>
              <w:tc>
                <w:tcPr>
                  <w:tcW w:w="970" w:type="dxa"/>
                  <w:noWrap w:val="0"/>
                  <w:vAlign w:val="center"/>
                </w:tcPr>
                <w:p>
                  <w:pPr>
                    <w:pStyle w:val="32"/>
                    <w:jc w:val="center"/>
                    <w:rPr>
                      <w:sz w:val="18"/>
                      <w:szCs w:val="18"/>
                    </w:rPr>
                  </w:pPr>
                  <w:r>
                    <w:rPr>
                      <w:sz w:val="18"/>
                      <w:szCs w:val="18"/>
                    </w:rPr>
                    <w:t>北厂界</w:t>
                  </w:r>
                </w:p>
              </w:tc>
              <w:tc>
                <w:tcPr>
                  <w:tcW w:w="1820" w:type="dxa"/>
                  <w:noWrap w:val="0"/>
                  <w:vAlign w:val="center"/>
                </w:tcPr>
                <w:p>
                  <w:pPr>
                    <w:jc w:val="center"/>
                    <w:rPr>
                      <w:sz w:val="18"/>
                      <w:szCs w:val="18"/>
                    </w:rPr>
                  </w:pPr>
                  <w:r>
                    <w:rPr>
                      <w:sz w:val="18"/>
                      <w:szCs w:val="18"/>
                    </w:rPr>
                    <w:t>连续等效A声级</w:t>
                  </w:r>
                </w:p>
              </w:tc>
              <w:tc>
                <w:tcPr>
                  <w:tcW w:w="1529" w:type="dxa"/>
                  <w:noWrap w:val="0"/>
                  <w:vAlign w:val="center"/>
                </w:tcPr>
                <w:p>
                  <w:pPr>
                    <w:jc w:val="center"/>
                    <w:rPr>
                      <w:sz w:val="18"/>
                      <w:szCs w:val="18"/>
                    </w:rPr>
                  </w:pPr>
                  <w:r>
                    <w:rPr>
                      <w:sz w:val="18"/>
                      <w:szCs w:val="18"/>
                    </w:rPr>
                    <w:t>1次/季度</w:t>
                  </w:r>
                </w:p>
              </w:tc>
              <w:tc>
                <w:tcPr>
                  <w:tcW w:w="2984" w:type="dxa"/>
                  <w:vMerge w:val="continue"/>
                  <w:noWrap w:val="0"/>
                  <w:vAlign w:val="center"/>
                </w:tcPr>
                <w:p>
                  <w:pPr>
                    <w:jc w:val="center"/>
                    <w:rPr>
                      <w:sz w:val="18"/>
                      <w:szCs w:val="18"/>
                    </w:rPr>
                  </w:pPr>
                </w:p>
              </w:tc>
            </w:tr>
          </w:tbl>
          <w:p>
            <w:pPr>
              <w:spacing w:line="480" w:lineRule="exact"/>
              <w:ind w:firstLine="422" w:firstLineChars="200"/>
              <w:rPr>
                <w:b/>
                <w:bCs/>
                <w:szCs w:val="21"/>
              </w:rPr>
            </w:pPr>
            <w:r>
              <w:rPr>
                <w:b/>
                <w:bCs/>
                <w:szCs w:val="21"/>
              </w:rPr>
              <w:t xml:space="preserve">5、环境影响分析小结 </w:t>
            </w:r>
          </w:p>
          <w:p>
            <w:pPr>
              <w:spacing w:line="480" w:lineRule="exact"/>
              <w:ind w:firstLine="420" w:firstLineChars="200"/>
              <w:rPr>
                <w:szCs w:val="21"/>
              </w:rPr>
            </w:pPr>
            <w:r>
              <w:rPr>
                <w:szCs w:val="21"/>
              </w:rPr>
              <w:t xml:space="preserve">本项目厂界周边50m范围内无环境保护目标，在营运期在做好噪声污染防治措施，合理布局、厂房隔声，落实常规监测的情况下，噪声在厂界处可以实现达标排放，对周围声环境影响小。 </w:t>
            </w:r>
          </w:p>
          <w:p>
            <w:pPr>
              <w:spacing w:line="480" w:lineRule="exact"/>
              <w:ind w:firstLine="422" w:firstLineChars="200"/>
              <w:rPr>
                <w:b/>
                <w:bCs/>
              </w:rPr>
            </w:pPr>
            <w:r>
              <w:rPr>
                <w:b/>
                <w:bCs/>
              </w:rPr>
              <w:t>四、固体废物</w:t>
            </w:r>
          </w:p>
          <w:p>
            <w:pPr>
              <w:spacing w:line="480" w:lineRule="exact"/>
              <w:ind w:firstLine="422" w:firstLineChars="200"/>
              <w:rPr>
                <w:b/>
                <w:bCs/>
              </w:rPr>
            </w:pPr>
            <w:r>
              <w:rPr>
                <w:b/>
                <w:bCs/>
              </w:rPr>
              <w:t>1、固废产生源强核算</w:t>
            </w:r>
          </w:p>
          <w:p>
            <w:pPr>
              <w:widowControl/>
              <w:spacing w:line="480" w:lineRule="exact"/>
              <w:ind w:firstLine="420" w:firstLineChars="200"/>
              <w:jc w:val="left"/>
              <w:rPr>
                <w:kern w:val="0"/>
                <w:szCs w:val="21"/>
                <w:lang w:bidi="ar"/>
              </w:rPr>
            </w:pPr>
            <w:r>
              <w:rPr>
                <w:kern w:val="0"/>
                <w:szCs w:val="21"/>
                <w:lang w:bidi="ar"/>
              </w:rPr>
              <w:t>按照《建设项目危险废物环境影响评价指南》中的要求，对本项目运行过程产生的固废进行分析。</w:t>
            </w:r>
          </w:p>
          <w:p>
            <w:pPr>
              <w:widowControl/>
              <w:spacing w:line="480" w:lineRule="exact"/>
              <w:ind w:firstLine="420" w:firstLineChars="200"/>
              <w:jc w:val="left"/>
              <w:rPr>
                <w:kern w:val="0"/>
                <w:szCs w:val="21"/>
                <w:lang w:bidi="ar"/>
              </w:rPr>
            </w:pPr>
            <w:r>
              <w:rPr>
                <w:kern w:val="0"/>
                <w:szCs w:val="21"/>
                <w:lang w:bidi="ar"/>
              </w:rPr>
              <w:t>（1）不合格品</w:t>
            </w:r>
            <w:r>
              <w:rPr>
                <w:rFonts w:hint="eastAsia"/>
                <w:kern w:val="0"/>
                <w:szCs w:val="21"/>
                <w:lang w:val="en-US" w:eastAsia="zh-CN" w:bidi="ar"/>
              </w:rPr>
              <w:t>及边角料</w:t>
            </w:r>
            <w:r>
              <w:rPr>
                <w:kern w:val="0"/>
                <w:szCs w:val="21"/>
                <w:lang w:bidi="ar"/>
              </w:rPr>
              <w:t>（S</w:t>
            </w:r>
            <w:r>
              <w:rPr>
                <w:rFonts w:hint="eastAsia"/>
                <w:kern w:val="0"/>
                <w:szCs w:val="21"/>
                <w:vertAlign w:val="subscript"/>
                <w:lang w:val="en-US" w:eastAsia="zh-CN" w:bidi="ar"/>
              </w:rPr>
              <w:t>1</w:t>
            </w:r>
            <w:r>
              <w:rPr>
                <w:kern w:val="0"/>
                <w:szCs w:val="21"/>
                <w:lang w:bidi="ar"/>
              </w:rPr>
              <w:t>、S</w:t>
            </w:r>
            <w:r>
              <w:rPr>
                <w:rFonts w:hint="eastAsia"/>
                <w:kern w:val="0"/>
                <w:szCs w:val="21"/>
                <w:vertAlign w:val="subscript"/>
                <w:lang w:val="en-US" w:eastAsia="zh-CN" w:bidi="ar"/>
              </w:rPr>
              <w:t>2</w:t>
            </w:r>
            <w:r>
              <w:rPr>
                <w:kern w:val="0"/>
                <w:szCs w:val="21"/>
                <w:lang w:bidi="ar"/>
              </w:rPr>
              <w:t>）：吹塑</w:t>
            </w:r>
            <w:r>
              <w:rPr>
                <w:rFonts w:hint="eastAsia"/>
                <w:kern w:val="0"/>
                <w:szCs w:val="21"/>
                <w:lang w:val="en-US" w:eastAsia="zh-CN" w:bidi="ar"/>
              </w:rPr>
              <w:t>制袋、烫袋</w:t>
            </w:r>
            <w:r>
              <w:rPr>
                <w:kern w:val="0"/>
                <w:szCs w:val="21"/>
                <w:lang w:bidi="ar"/>
              </w:rPr>
              <w:t>会产生</w:t>
            </w:r>
            <w:r>
              <w:rPr>
                <w:rFonts w:hint="eastAsia"/>
                <w:kern w:val="0"/>
                <w:szCs w:val="21"/>
                <w:lang w:val="en-US" w:eastAsia="zh-CN" w:bidi="ar"/>
              </w:rPr>
              <w:t>边角料</w:t>
            </w:r>
            <w:r>
              <w:rPr>
                <w:kern w:val="0"/>
                <w:szCs w:val="21"/>
                <w:lang w:bidi="ar"/>
              </w:rPr>
              <w:t>，</w:t>
            </w:r>
            <w:r>
              <w:rPr>
                <w:rFonts w:hint="eastAsia"/>
                <w:kern w:val="0"/>
                <w:szCs w:val="21"/>
                <w:lang w:val="en-US" w:eastAsia="zh-CN" w:bidi="ar"/>
              </w:rPr>
              <w:t>装袋</w:t>
            </w:r>
            <w:r>
              <w:rPr>
                <w:kern w:val="0"/>
                <w:szCs w:val="21"/>
                <w:lang w:bidi="ar"/>
              </w:rPr>
              <w:t>会产生</w:t>
            </w:r>
            <w:r>
              <w:rPr>
                <w:rFonts w:hint="eastAsia"/>
                <w:kern w:val="0"/>
                <w:szCs w:val="21"/>
                <w:lang w:val="en-US" w:eastAsia="zh-CN" w:bidi="ar"/>
              </w:rPr>
              <w:t>不合格品，</w:t>
            </w:r>
            <w:r>
              <w:rPr>
                <w:kern w:val="0"/>
                <w:szCs w:val="21"/>
                <w:lang w:bidi="ar"/>
              </w:rPr>
              <w:t>产生量约产品总重量的</w:t>
            </w:r>
            <w:r>
              <w:rPr>
                <w:rFonts w:hint="eastAsia"/>
                <w:kern w:val="0"/>
                <w:szCs w:val="21"/>
                <w:lang w:val="en-US" w:eastAsia="zh-CN" w:bidi="ar"/>
              </w:rPr>
              <w:t>2</w:t>
            </w:r>
            <w:r>
              <w:rPr>
                <w:kern w:val="0"/>
                <w:szCs w:val="21"/>
                <w:lang w:bidi="ar"/>
              </w:rPr>
              <w:t>%，产生量约</w:t>
            </w:r>
            <w:r>
              <w:rPr>
                <w:rFonts w:hint="eastAsia"/>
                <w:kern w:val="0"/>
                <w:szCs w:val="21"/>
                <w:lang w:val="en-US" w:eastAsia="zh-CN" w:bidi="ar"/>
              </w:rPr>
              <w:t>1</w:t>
            </w:r>
            <w:r>
              <w:rPr>
                <w:kern w:val="0"/>
                <w:szCs w:val="21"/>
                <w:lang w:bidi="ar"/>
              </w:rPr>
              <w:t>t/a，主要成分为PE，属于一般工业废物，收集暂存后委托固废公司处理。</w:t>
            </w:r>
          </w:p>
          <w:p>
            <w:pPr>
              <w:widowControl/>
              <w:spacing w:line="480" w:lineRule="exact"/>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）废活性炭（</w:t>
            </w:r>
            <w:r>
              <w:rPr>
                <w:color w:val="000000" w:themeColor="text1"/>
                <w14:textFill>
                  <w14:solidFill>
                    <w14:schemeClr w14:val="tx1"/>
                  </w14:solidFill>
                </w14:textFill>
              </w:rPr>
              <w:t>S</w:t>
            </w:r>
            <w:r>
              <w:rPr>
                <w:rFonts w:hint="eastAsia"/>
                <w:color w:val="000000" w:themeColor="text1"/>
                <w:vertAlign w:val="subscript"/>
                <w:lang w:val="en-US" w:eastAsia="zh-CN"/>
                <w14:textFill>
                  <w14:solidFill>
                    <w14:schemeClr w14:val="tx1"/>
                  </w14:solidFill>
                </w14:textFill>
              </w:rPr>
              <w:t>3</w:t>
            </w:r>
            <w:r>
              <w:rPr>
                <w:color w:val="000000" w:themeColor="text1"/>
                <w:szCs w:val="21"/>
                <w14:textFill>
                  <w14:solidFill>
                    <w14:schemeClr w14:val="tx1"/>
                  </w14:solidFill>
                </w14:textFill>
              </w:rPr>
              <w:t>）：</w:t>
            </w:r>
            <w:r>
              <w:rPr>
                <w:color w:val="000000" w:themeColor="text1"/>
                <w:kern w:val="0"/>
                <w:szCs w:val="21"/>
                <w:lang w:bidi="ar"/>
                <w14:textFill>
                  <w14:solidFill>
                    <w14:schemeClr w14:val="tx1"/>
                  </w14:solidFill>
                </w14:textFill>
              </w:rPr>
              <w:t>本项目新建</w:t>
            </w:r>
            <w:r>
              <w:rPr>
                <w:rFonts w:hint="eastAsia"/>
                <w:color w:val="000000" w:themeColor="text1"/>
                <w:kern w:val="0"/>
                <w:szCs w:val="21"/>
                <w:lang w:val="en-US" w:eastAsia="zh-CN" w:bidi="ar"/>
                <w14:textFill>
                  <w14:solidFill>
                    <w14:schemeClr w14:val="tx1"/>
                  </w14:solidFill>
                </w14:textFill>
              </w:rPr>
              <w:t>1</w:t>
            </w:r>
            <w:r>
              <w:rPr>
                <w:color w:val="000000" w:themeColor="text1"/>
                <w:kern w:val="0"/>
                <w:szCs w:val="21"/>
                <w:lang w:bidi="ar"/>
                <w14:textFill>
                  <w14:solidFill>
                    <w14:schemeClr w14:val="tx1"/>
                  </w14:solidFill>
                </w14:textFill>
              </w:rPr>
              <w:t>套</w:t>
            </w:r>
            <w:r>
              <w:rPr>
                <w:rFonts w:hint="eastAsia"/>
                <w:color w:val="000000" w:themeColor="text1"/>
                <w:kern w:val="0"/>
                <w:szCs w:val="21"/>
                <w:lang w:val="en-US" w:eastAsia="zh-CN" w:bidi="ar"/>
                <w14:textFill>
                  <w14:solidFill>
                    <w14:schemeClr w14:val="tx1"/>
                  </w14:solidFill>
                </w14:textFill>
              </w:rPr>
              <w:t>二</w:t>
            </w:r>
            <w:r>
              <w:rPr>
                <w:color w:val="000000" w:themeColor="text1"/>
                <w:kern w:val="0"/>
                <w:szCs w:val="21"/>
                <w:lang w:bidi="ar"/>
                <w14:textFill>
                  <w14:solidFill>
                    <w14:schemeClr w14:val="tx1"/>
                  </w14:solidFill>
                </w14:textFill>
              </w:rPr>
              <w:t>级活性炭吸附装置处理生产过程中产生的有机废气，有机废气综合处理效率约为90%（单级活性炭吸附装置处理效率按70%计）。根据《省生态环境厅关于将排污单位活性炭使用更换纳入排污许可管理的通知》，活性炭更换频次需根据以下</w:t>
            </w:r>
            <w:r>
              <w:rPr>
                <w:rFonts w:hint="eastAsia"/>
                <w:color w:val="000000" w:themeColor="text1"/>
                <w:kern w:val="0"/>
                <w:szCs w:val="21"/>
                <w:lang w:bidi="ar"/>
                <w14:textFill>
                  <w14:solidFill>
                    <w14:schemeClr w14:val="tx1"/>
                  </w14:solidFill>
                </w14:textFill>
              </w:rPr>
              <w:t>公式</w:t>
            </w:r>
            <w:r>
              <w:rPr>
                <w:color w:val="000000" w:themeColor="text1"/>
                <w:kern w:val="0"/>
                <w:szCs w:val="21"/>
                <w:lang w:bidi="ar"/>
                <w14:textFill>
                  <w14:solidFill>
                    <w14:schemeClr w14:val="tx1"/>
                  </w14:solidFill>
                </w14:textFill>
              </w:rPr>
              <w:t xml:space="preserve">进行计算： </w:t>
            </w:r>
          </w:p>
          <w:p>
            <w:pPr>
              <w:widowControl/>
              <w:spacing w:line="480" w:lineRule="exact"/>
              <w:jc w:val="center"/>
              <w:rPr>
                <w:kern w:val="0"/>
                <w:szCs w:val="21"/>
                <w:lang w:bidi="ar"/>
              </w:rPr>
            </w:pPr>
            <w:r>
              <w:rPr>
                <w:kern w:val="0"/>
                <w:szCs w:val="21"/>
                <w:lang w:bidi="ar"/>
              </w:rPr>
              <w:t>T=m×s÷（c×10</w:t>
            </w:r>
            <w:r>
              <w:rPr>
                <w:kern w:val="0"/>
                <w:szCs w:val="21"/>
                <w:vertAlign w:val="superscript"/>
                <w:lang w:bidi="ar"/>
              </w:rPr>
              <w:t>-6</w:t>
            </w:r>
            <w:r>
              <w:rPr>
                <w:kern w:val="0"/>
                <w:szCs w:val="21"/>
                <w:lang w:bidi="ar"/>
              </w:rPr>
              <w:t>×Q×t）</w:t>
            </w:r>
          </w:p>
          <w:p>
            <w:pPr>
              <w:widowControl/>
              <w:spacing w:line="480" w:lineRule="exact"/>
              <w:ind w:firstLine="420" w:firstLineChars="200"/>
              <w:jc w:val="left"/>
              <w:rPr>
                <w:szCs w:val="21"/>
              </w:rPr>
            </w:pPr>
            <w:r>
              <w:rPr>
                <w:kern w:val="0"/>
                <w:szCs w:val="21"/>
                <w:lang w:bidi="ar"/>
              </w:rPr>
              <w:t xml:space="preserve">式中： </w:t>
            </w:r>
          </w:p>
          <w:p>
            <w:pPr>
              <w:widowControl/>
              <w:spacing w:line="480" w:lineRule="exact"/>
              <w:ind w:firstLine="420" w:firstLineChars="200"/>
              <w:jc w:val="left"/>
              <w:rPr>
                <w:szCs w:val="21"/>
              </w:rPr>
            </w:pPr>
            <w:r>
              <w:rPr>
                <w:kern w:val="0"/>
                <w:szCs w:val="21"/>
                <w:lang w:bidi="ar"/>
              </w:rPr>
              <w:t xml:space="preserve">T—更换周期，天； </w:t>
            </w:r>
          </w:p>
          <w:p>
            <w:pPr>
              <w:widowControl/>
              <w:spacing w:line="480" w:lineRule="exact"/>
              <w:ind w:firstLine="420" w:firstLineChars="200"/>
              <w:jc w:val="left"/>
              <w:rPr>
                <w:szCs w:val="21"/>
              </w:rPr>
            </w:pPr>
            <w:r>
              <w:rPr>
                <w:kern w:val="0"/>
                <w:szCs w:val="21"/>
                <w:lang w:bidi="ar"/>
              </w:rPr>
              <w:t>m—活性炭的用量，kg；</w:t>
            </w:r>
            <w:r>
              <w:rPr>
                <w:rFonts w:hint="eastAsia"/>
                <w:kern w:val="0"/>
                <w:szCs w:val="21"/>
                <w:lang w:val="en-US" w:eastAsia="zh-CN" w:bidi="ar"/>
              </w:rPr>
              <w:t>二</w:t>
            </w:r>
            <w:r>
              <w:rPr>
                <w:kern w:val="0"/>
                <w:szCs w:val="21"/>
                <w:lang w:bidi="ar"/>
              </w:rPr>
              <w:t>级活性炭吸附装置单次活性炭装填量共计为</w:t>
            </w:r>
            <w:r>
              <w:rPr>
                <w:rFonts w:hint="eastAsia"/>
                <w:kern w:val="0"/>
                <w:szCs w:val="21"/>
                <w:lang w:val="en-US" w:eastAsia="zh-CN" w:bidi="ar"/>
              </w:rPr>
              <w:t>310</w:t>
            </w:r>
            <w:r>
              <w:rPr>
                <w:kern w:val="0"/>
                <w:szCs w:val="21"/>
                <w:lang w:bidi="ar"/>
              </w:rPr>
              <w:t xml:space="preserve">kg； </w:t>
            </w:r>
          </w:p>
          <w:p>
            <w:pPr>
              <w:widowControl/>
              <w:spacing w:line="480" w:lineRule="exact"/>
              <w:ind w:firstLine="420" w:firstLineChars="200"/>
              <w:jc w:val="left"/>
              <w:rPr>
                <w:szCs w:val="21"/>
              </w:rPr>
            </w:pPr>
            <w:r>
              <w:rPr>
                <w:kern w:val="0"/>
                <w:szCs w:val="21"/>
                <w:lang w:bidi="ar"/>
              </w:rPr>
              <w:t>s—动态吸附量，%；取值</w:t>
            </w:r>
            <w:r>
              <w:rPr>
                <w:rFonts w:hint="eastAsia"/>
                <w:kern w:val="0"/>
                <w:szCs w:val="21"/>
                <w:lang w:val="en-US" w:eastAsia="zh-CN" w:bidi="ar"/>
              </w:rPr>
              <w:t>1</w:t>
            </w:r>
            <w:r>
              <w:rPr>
                <w:kern w:val="0"/>
                <w:szCs w:val="21"/>
                <w:lang w:bidi="ar"/>
              </w:rPr>
              <w:t xml:space="preserve">0%； </w:t>
            </w:r>
          </w:p>
          <w:p>
            <w:pPr>
              <w:widowControl/>
              <w:spacing w:line="480" w:lineRule="exact"/>
              <w:ind w:firstLine="420" w:firstLineChars="200"/>
              <w:jc w:val="left"/>
              <w:rPr>
                <w:szCs w:val="21"/>
              </w:rPr>
            </w:pPr>
            <w:r>
              <w:rPr>
                <w:kern w:val="0"/>
                <w:szCs w:val="21"/>
                <w:lang w:bidi="ar"/>
              </w:rPr>
              <w:t>c—活性炭削减的VOCs浓度，mg/m</w:t>
            </w:r>
            <w:r>
              <w:rPr>
                <w:kern w:val="0"/>
                <w:szCs w:val="21"/>
                <w:vertAlign w:val="superscript"/>
                <w:lang w:bidi="ar"/>
              </w:rPr>
              <w:t>3</w:t>
            </w:r>
            <w:r>
              <w:rPr>
                <w:kern w:val="0"/>
                <w:szCs w:val="21"/>
                <w:lang w:bidi="ar"/>
              </w:rPr>
              <w:t>；经折算，DA001活性炭削减的VOCs浓度为</w:t>
            </w:r>
            <w:r>
              <w:rPr>
                <w:rFonts w:hint="eastAsia"/>
                <w:kern w:val="0"/>
                <w:szCs w:val="21"/>
                <w:lang w:val="en-US" w:eastAsia="zh-CN" w:bidi="ar"/>
              </w:rPr>
              <w:t>14</w:t>
            </w:r>
            <w:r>
              <w:rPr>
                <w:kern w:val="0"/>
                <w:szCs w:val="21"/>
                <w:lang w:bidi="ar"/>
              </w:rPr>
              <w:t>mg/m</w:t>
            </w:r>
            <w:r>
              <w:rPr>
                <w:kern w:val="0"/>
                <w:szCs w:val="21"/>
                <w:vertAlign w:val="superscript"/>
                <w:lang w:bidi="ar"/>
              </w:rPr>
              <w:t>3</w:t>
            </w:r>
            <w:r>
              <w:rPr>
                <w:kern w:val="0"/>
                <w:szCs w:val="21"/>
                <w:lang w:bidi="ar"/>
              </w:rPr>
              <w:t>。</w:t>
            </w:r>
          </w:p>
          <w:p>
            <w:pPr>
              <w:widowControl/>
              <w:spacing w:line="480" w:lineRule="exact"/>
              <w:ind w:firstLine="420" w:firstLineChars="200"/>
              <w:jc w:val="left"/>
              <w:rPr>
                <w:szCs w:val="21"/>
              </w:rPr>
            </w:pPr>
            <w:r>
              <w:rPr>
                <w:kern w:val="0"/>
                <w:szCs w:val="21"/>
                <w:lang w:bidi="ar"/>
              </w:rPr>
              <w:t>Q—风量，m</w:t>
            </w:r>
            <w:r>
              <w:rPr>
                <w:kern w:val="0"/>
                <w:szCs w:val="21"/>
                <w:vertAlign w:val="superscript"/>
                <w:lang w:bidi="ar"/>
              </w:rPr>
              <w:t>3</w:t>
            </w:r>
            <w:r>
              <w:rPr>
                <w:kern w:val="0"/>
                <w:szCs w:val="21"/>
                <w:lang w:bidi="ar"/>
              </w:rPr>
              <w:t>/h；本项目Q为</w:t>
            </w:r>
            <w:r>
              <w:rPr>
                <w:rFonts w:hint="eastAsia"/>
                <w:kern w:val="0"/>
                <w:szCs w:val="21"/>
                <w:lang w:val="en-US" w:eastAsia="zh-CN" w:bidi="ar"/>
              </w:rPr>
              <w:t>3000</w:t>
            </w:r>
            <w:r>
              <w:rPr>
                <w:kern w:val="0"/>
                <w:szCs w:val="21"/>
                <w:lang w:bidi="ar"/>
              </w:rPr>
              <w:t>m</w:t>
            </w:r>
            <w:r>
              <w:rPr>
                <w:kern w:val="0"/>
                <w:szCs w:val="21"/>
                <w:vertAlign w:val="superscript"/>
                <w:lang w:bidi="ar"/>
              </w:rPr>
              <w:t>3</w:t>
            </w:r>
            <w:r>
              <w:rPr>
                <w:kern w:val="0"/>
                <w:szCs w:val="21"/>
                <w:lang w:bidi="ar"/>
              </w:rPr>
              <w:t xml:space="preserve">/h； </w:t>
            </w:r>
          </w:p>
          <w:p>
            <w:pPr>
              <w:widowControl/>
              <w:spacing w:line="480" w:lineRule="exact"/>
              <w:ind w:firstLine="420" w:firstLineChars="200"/>
              <w:jc w:val="left"/>
              <w:rPr>
                <w:kern w:val="0"/>
                <w:szCs w:val="21"/>
                <w:lang w:bidi="ar"/>
              </w:rPr>
            </w:pPr>
            <w:r>
              <w:rPr>
                <w:kern w:val="0"/>
                <w:szCs w:val="21"/>
                <w:lang w:bidi="ar"/>
              </w:rPr>
              <w:t>t—运行时间，h/d；本项目废气处理设施运行时间为8h/d。</w:t>
            </w:r>
          </w:p>
          <w:p>
            <w:pPr>
              <w:spacing w:line="480" w:lineRule="exact"/>
              <w:ind w:firstLine="420" w:firstLineChars="200"/>
              <w:rPr>
                <w:szCs w:val="21"/>
              </w:rPr>
            </w:pPr>
            <w:r>
              <w:rPr>
                <w:kern w:val="0"/>
                <w:szCs w:val="21"/>
                <w:lang w:bidi="ar"/>
              </w:rPr>
              <w:t>DA001排气筒经过计算T=</w:t>
            </w:r>
            <w:r>
              <w:rPr>
                <w:rFonts w:hint="eastAsia"/>
                <w:kern w:val="0"/>
                <w:szCs w:val="21"/>
                <w:lang w:val="en-US" w:eastAsia="zh-CN" w:bidi="ar"/>
              </w:rPr>
              <w:t>92.2619</w:t>
            </w:r>
            <w:r>
              <w:rPr>
                <w:kern w:val="0"/>
                <w:szCs w:val="21"/>
                <w:lang w:bidi="ar"/>
              </w:rPr>
              <w:t>天。全年工作300天，平均每月工作25天，则每</w:t>
            </w:r>
            <w:r>
              <w:rPr>
                <w:rFonts w:hint="eastAsia"/>
                <w:kern w:val="0"/>
                <w:szCs w:val="21"/>
                <w:lang w:val="en-US" w:eastAsia="zh-CN" w:bidi="ar"/>
              </w:rPr>
              <w:t>三</w:t>
            </w:r>
            <w:r>
              <w:rPr>
                <w:kern w:val="0"/>
                <w:szCs w:val="21"/>
                <w:lang w:bidi="ar"/>
              </w:rPr>
              <w:t>个月更换一次活性炭，项目建成后全厂废活性炭产生量共计约为</w:t>
            </w:r>
            <w:r>
              <w:rPr>
                <w:rFonts w:hint="eastAsia"/>
                <w:kern w:val="0"/>
                <w:szCs w:val="21"/>
                <w:lang w:val="en-US" w:eastAsia="zh-CN" w:bidi="ar"/>
              </w:rPr>
              <w:t>1.114</w:t>
            </w:r>
            <w:r>
              <w:rPr>
                <w:kern w:val="0"/>
                <w:szCs w:val="21"/>
                <w:lang w:bidi="ar"/>
              </w:rPr>
              <w:t>t/a。</w:t>
            </w:r>
          </w:p>
          <w:p>
            <w:pPr>
              <w:spacing w:line="480" w:lineRule="exact"/>
              <w:ind w:firstLine="420" w:firstLineChars="200"/>
            </w:pPr>
            <w:r>
              <w:t>（</w:t>
            </w:r>
            <w:r>
              <w:rPr>
                <w:rFonts w:hint="eastAsia"/>
                <w:lang w:val="en-US" w:eastAsia="zh-CN"/>
              </w:rPr>
              <w:t>3</w:t>
            </w:r>
            <w:r>
              <w:t>）废包装材料（S</w:t>
            </w:r>
            <w:r>
              <w:rPr>
                <w:rFonts w:hint="eastAsia"/>
                <w:vertAlign w:val="subscript"/>
                <w:lang w:val="en-US" w:eastAsia="zh-CN"/>
              </w:rPr>
              <w:t>4</w:t>
            </w:r>
            <w:r>
              <w:t>）：主要为原辅料的包装材料，产生量约为</w:t>
            </w:r>
            <w:r>
              <w:rPr>
                <w:rFonts w:hint="eastAsia"/>
                <w:lang w:val="en-US" w:eastAsia="zh-CN"/>
              </w:rPr>
              <w:t>0.5</w:t>
            </w:r>
            <w:r>
              <w:t>t/a，主要成分为塑料薄膜，属于一般工业废物，收集暂存后委托固废公司处理</w:t>
            </w:r>
            <w:r>
              <w:rPr>
                <w:szCs w:val="21"/>
              </w:rPr>
              <w:t>。</w:t>
            </w:r>
          </w:p>
          <w:p>
            <w:pPr>
              <w:widowControl/>
              <w:spacing w:line="480" w:lineRule="exact"/>
              <w:ind w:firstLine="420" w:firstLineChars="200"/>
              <w:jc w:val="left"/>
              <w:rPr>
                <w:kern w:val="0"/>
                <w:szCs w:val="21"/>
                <w:lang w:bidi="ar"/>
              </w:rPr>
            </w:pPr>
            <w:r>
              <w:rPr>
                <w:kern w:val="0"/>
                <w:szCs w:val="21"/>
                <w:lang w:bidi="ar"/>
              </w:rPr>
              <w:t>（</w:t>
            </w:r>
            <w:r>
              <w:rPr>
                <w:rFonts w:hint="eastAsia"/>
                <w:kern w:val="0"/>
                <w:szCs w:val="21"/>
                <w:lang w:val="en-US" w:eastAsia="zh-CN" w:bidi="ar"/>
              </w:rPr>
              <w:t>4</w:t>
            </w:r>
            <w:r>
              <w:rPr>
                <w:kern w:val="0"/>
                <w:szCs w:val="21"/>
                <w:lang w:bidi="ar"/>
              </w:rPr>
              <w:t>）生活垃圾：本项目共有员工</w:t>
            </w:r>
            <w:r>
              <w:rPr>
                <w:rFonts w:hint="eastAsia"/>
                <w:kern w:val="0"/>
                <w:szCs w:val="21"/>
                <w:lang w:val="en-US" w:eastAsia="zh-CN" w:bidi="ar"/>
              </w:rPr>
              <w:t>8</w:t>
            </w:r>
            <w:r>
              <w:rPr>
                <w:kern w:val="0"/>
                <w:szCs w:val="21"/>
                <w:lang w:bidi="ar"/>
              </w:rPr>
              <w:t>人，员工办公及生活产生的生活垃圾按每人1.0kg/人·d 计，则本项目新增生活垃圾产生量约</w:t>
            </w:r>
            <w:r>
              <w:rPr>
                <w:rFonts w:hint="eastAsia"/>
                <w:kern w:val="0"/>
                <w:szCs w:val="21"/>
                <w:lang w:val="en-US" w:eastAsia="zh-CN" w:bidi="ar"/>
              </w:rPr>
              <w:t>2.4</w:t>
            </w:r>
            <w:r>
              <w:rPr>
                <w:kern w:val="0"/>
                <w:szCs w:val="21"/>
                <w:lang w:bidi="ar"/>
              </w:rPr>
              <w:t>t/a。</w:t>
            </w:r>
          </w:p>
          <w:p>
            <w:pPr>
              <w:spacing w:line="480" w:lineRule="exact"/>
              <w:ind w:firstLine="422" w:firstLineChars="200"/>
              <w:rPr>
                <w:b/>
                <w:bCs/>
              </w:rPr>
            </w:pPr>
            <w:r>
              <w:rPr>
                <w:b/>
                <w:bCs/>
              </w:rPr>
              <w:t xml:space="preserve">2、固体废物属性判定 </w:t>
            </w:r>
          </w:p>
          <w:p>
            <w:pPr>
              <w:spacing w:line="480" w:lineRule="exact"/>
              <w:ind w:firstLine="420" w:firstLineChars="200"/>
            </w:pPr>
            <w:r>
              <w:t>根据《中华人民共和国固体废物污染环境防治法》、《固体废物鉴别标准通则》（GB34330-2017）和《建设项目危险废物环境影响评价指南》（公告2017年第43号）的规定，判断建设项目生产过程中产生的副产物是否属于固体废物，判定依据及结果见表4-23。</w:t>
            </w:r>
          </w:p>
          <w:p>
            <w:pPr>
              <w:tabs>
                <w:tab w:val="left" w:pos="3033"/>
              </w:tabs>
              <w:spacing w:line="480" w:lineRule="exact"/>
              <w:jc w:val="center"/>
              <w:rPr>
                <w:b/>
                <w:bCs/>
                <w:sz w:val="18"/>
                <w:szCs w:val="18"/>
              </w:rPr>
            </w:pPr>
          </w:p>
          <w:p>
            <w:pPr>
              <w:tabs>
                <w:tab w:val="left" w:pos="3033"/>
              </w:tabs>
              <w:spacing w:line="480" w:lineRule="exact"/>
              <w:jc w:val="center"/>
              <w:rPr>
                <w:b/>
                <w:bCs/>
                <w:sz w:val="18"/>
                <w:szCs w:val="18"/>
              </w:rPr>
            </w:pPr>
            <w:r>
              <w:rPr>
                <w:b/>
                <w:bCs/>
                <w:sz w:val="18"/>
                <w:szCs w:val="18"/>
              </w:rPr>
              <w:t>表4-23  本项目副产物产生情况汇总表</w:t>
            </w:r>
          </w:p>
          <w:tbl>
            <w:tblPr>
              <w:tblStyle w:val="21"/>
              <w:tblW w:w="7942" w:type="dxa"/>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109"/>
              <w:gridCol w:w="1127"/>
              <w:gridCol w:w="539"/>
              <w:gridCol w:w="1014"/>
              <w:gridCol w:w="620"/>
              <w:gridCol w:w="890"/>
              <w:gridCol w:w="670"/>
              <w:gridCol w:w="1524"/>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6" w:hRule="exact"/>
              </w:trPr>
              <w:tc>
                <w:tcPr>
                  <w:tcW w:w="449" w:type="dxa"/>
                  <w:vMerge w:val="restart"/>
                  <w:noWrap w:val="0"/>
                  <w:tcMar>
                    <w:top w:w="0" w:type="dxa"/>
                    <w:left w:w="57" w:type="dxa"/>
                    <w:bottom w:w="0" w:type="dxa"/>
                    <w:right w:w="57" w:type="dxa"/>
                  </w:tcMar>
                  <w:vAlign w:val="center"/>
                </w:tcPr>
                <w:p>
                  <w:pPr>
                    <w:pStyle w:val="32"/>
                    <w:jc w:val="center"/>
                    <w:rPr>
                      <w:sz w:val="18"/>
                      <w:szCs w:val="18"/>
                    </w:rPr>
                  </w:pPr>
                  <w:r>
                    <w:rPr>
                      <w:b/>
                      <w:bCs/>
                      <w:sz w:val="18"/>
                      <w:szCs w:val="18"/>
                    </w:rPr>
                    <w:t>序号</w:t>
                  </w:r>
                </w:p>
              </w:tc>
              <w:tc>
                <w:tcPr>
                  <w:tcW w:w="1109" w:type="dxa"/>
                  <w:vMerge w:val="restart"/>
                  <w:noWrap w:val="0"/>
                  <w:tcMar>
                    <w:top w:w="0" w:type="dxa"/>
                    <w:left w:w="57" w:type="dxa"/>
                    <w:bottom w:w="0" w:type="dxa"/>
                    <w:right w:w="57" w:type="dxa"/>
                  </w:tcMar>
                  <w:vAlign w:val="center"/>
                </w:tcPr>
                <w:p>
                  <w:pPr>
                    <w:pStyle w:val="32"/>
                    <w:jc w:val="center"/>
                    <w:rPr>
                      <w:b/>
                      <w:bCs/>
                      <w:sz w:val="18"/>
                      <w:szCs w:val="18"/>
                    </w:rPr>
                  </w:pPr>
                  <w:r>
                    <w:rPr>
                      <w:b/>
                      <w:bCs/>
                      <w:sz w:val="18"/>
                      <w:szCs w:val="18"/>
                    </w:rPr>
                    <w:t>副产物</w:t>
                  </w:r>
                </w:p>
                <w:p>
                  <w:pPr>
                    <w:pStyle w:val="32"/>
                    <w:jc w:val="center"/>
                    <w:rPr>
                      <w:sz w:val="18"/>
                      <w:szCs w:val="18"/>
                    </w:rPr>
                  </w:pPr>
                  <w:r>
                    <w:rPr>
                      <w:b/>
                      <w:bCs/>
                      <w:sz w:val="18"/>
                      <w:szCs w:val="18"/>
                    </w:rPr>
                    <w:t>名称</w:t>
                  </w:r>
                </w:p>
              </w:tc>
              <w:tc>
                <w:tcPr>
                  <w:tcW w:w="1127" w:type="dxa"/>
                  <w:vMerge w:val="restart"/>
                  <w:noWrap w:val="0"/>
                  <w:tcMar>
                    <w:top w:w="0" w:type="dxa"/>
                    <w:left w:w="57" w:type="dxa"/>
                    <w:bottom w:w="0" w:type="dxa"/>
                    <w:right w:w="57" w:type="dxa"/>
                  </w:tcMar>
                  <w:vAlign w:val="center"/>
                </w:tcPr>
                <w:p>
                  <w:pPr>
                    <w:pStyle w:val="32"/>
                    <w:jc w:val="center"/>
                    <w:rPr>
                      <w:sz w:val="18"/>
                      <w:szCs w:val="18"/>
                    </w:rPr>
                  </w:pPr>
                  <w:r>
                    <w:rPr>
                      <w:b/>
                      <w:bCs/>
                      <w:sz w:val="18"/>
                      <w:szCs w:val="18"/>
                    </w:rPr>
                    <w:t>产生来源</w:t>
                  </w:r>
                </w:p>
              </w:tc>
              <w:tc>
                <w:tcPr>
                  <w:tcW w:w="539" w:type="dxa"/>
                  <w:vMerge w:val="restart"/>
                  <w:noWrap w:val="0"/>
                  <w:tcMar>
                    <w:top w:w="0" w:type="dxa"/>
                    <w:left w:w="57" w:type="dxa"/>
                    <w:bottom w:w="0" w:type="dxa"/>
                    <w:right w:w="57" w:type="dxa"/>
                  </w:tcMar>
                  <w:vAlign w:val="center"/>
                </w:tcPr>
                <w:p>
                  <w:pPr>
                    <w:pStyle w:val="32"/>
                    <w:jc w:val="center"/>
                    <w:rPr>
                      <w:sz w:val="18"/>
                      <w:szCs w:val="18"/>
                    </w:rPr>
                  </w:pPr>
                  <w:r>
                    <w:rPr>
                      <w:b/>
                      <w:bCs/>
                      <w:sz w:val="18"/>
                      <w:szCs w:val="18"/>
                    </w:rPr>
                    <w:t>形态</w:t>
                  </w:r>
                </w:p>
              </w:tc>
              <w:tc>
                <w:tcPr>
                  <w:tcW w:w="1014" w:type="dxa"/>
                  <w:vMerge w:val="restart"/>
                  <w:noWrap w:val="0"/>
                  <w:tcMar>
                    <w:top w:w="0" w:type="dxa"/>
                    <w:left w:w="57" w:type="dxa"/>
                    <w:bottom w:w="0" w:type="dxa"/>
                    <w:right w:w="57" w:type="dxa"/>
                  </w:tcMar>
                  <w:vAlign w:val="center"/>
                </w:tcPr>
                <w:p>
                  <w:pPr>
                    <w:pStyle w:val="32"/>
                    <w:jc w:val="center"/>
                    <w:rPr>
                      <w:sz w:val="18"/>
                      <w:szCs w:val="18"/>
                    </w:rPr>
                  </w:pPr>
                  <w:r>
                    <w:rPr>
                      <w:b/>
                      <w:bCs/>
                      <w:sz w:val="18"/>
                      <w:szCs w:val="18"/>
                    </w:rPr>
                    <w:t>主要成分</w:t>
                  </w:r>
                </w:p>
              </w:tc>
              <w:tc>
                <w:tcPr>
                  <w:tcW w:w="620" w:type="dxa"/>
                  <w:vMerge w:val="restart"/>
                  <w:noWrap w:val="0"/>
                  <w:tcMar>
                    <w:top w:w="0" w:type="dxa"/>
                    <w:left w:w="57" w:type="dxa"/>
                    <w:bottom w:w="0" w:type="dxa"/>
                    <w:right w:w="57" w:type="dxa"/>
                  </w:tcMar>
                  <w:vAlign w:val="center"/>
                </w:tcPr>
                <w:p>
                  <w:pPr>
                    <w:pStyle w:val="32"/>
                    <w:jc w:val="center"/>
                    <w:rPr>
                      <w:sz w:val="18"/>
                      <w:szCs w:val="18"/>
                    </w:rPr>
                  </w:pPr>
                  <w:r>
                    <w:rPr>
                      <w:b/>
                      <w:bCs/>
                      <w:sz w:val="18"/>
                      <w:szCs w:val="18"/>
                    </w:rPr>
                    <w:t>预测产生量t/a</w:t>
                  </w:r>
                </w:p>
              </w:tc>
              <w:tc>
                <w:tcPr>
                  <w:tcW w:w="3084" w:type="dxa"/>
                  <w:gridSpan w:val="3"/>
                  <w:noWrap w:val="0"/>
                  <w:tcMar>
                    <w:top w:w="0" w:type="dxa"/>
                    <w:left w:w="57" w:type="dxa"/>
                    <w:bottom w:w="0" w:type="dxa"/>
                    <w:right w:w="57" w:type="dxa"/>
                  </w:tcMar>
                  <w:vAlign w:val="center"/>
                </w:tcPr>
                <w:p>
                  <w:pPr>
                    <w:pStyle w:val="32"/>
                    <w:jc w:val="center"/>
                    <w:rPr>
                      <w:b/>
                      <w:bCs/>
                      <w:sz w:val="18"/>
                      <w:szCs w:val="18"/>
                    </w:rPr>
                  </w:pPr>
                  <w:r>
                    <w:rPr>
                      <w:b/>
                      <w:bCs/>
                      <w:sz w:val="18"/>
                      <w:szCs w:val="18"/>
                    </w:rPr>
                    <w:t>种类判断*</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1" w:hRule="exact"/>
              </w:trPr>
              <w:tc>
                <w:tcPr>
                  <w:tcW w:w="449" w:type="dxa"/>
                  <w:vMerge w:val="continue"/>
                  <w:noWrap w:val="0"/>
                  <w:tcMar>
                    <w:top w:w="0" w:type="dxa"/>
                    <w:left w:w="57" w:type="dxa"/>
                    <w:bottom w:w="0" w:type="dxa"/>
                    <w:right w:w="57" w:type="dxa"/>
                  </w:tcMar>
                  <w:vAlign w:val="center"/>
                </w:tcPr>
                <w:p>
                  <w:pPr>
                    <w:jc w:val="center"/>
                    <w:rPr>
                      <w:sz w:val="18"/>
                      <w:szCs w:val="18"/>
                    </w:rPr>
                  </w:pPr>
                </w:p>
              </w:tc>
              <w:tc>
                <w:tcPr>
                  <w:tcW w:w="1109" w:type="dxa"/>
                  <w:vMerge w:val="continue"/>
                  <w:noWrap w:val="0"/>
                  <w:tcMar>
                    <w:top w:w="0" w:type="dxa"/>
                    <w:left w:w="57" w:type="dxa"/>
                    <w:bottom w:w="0" w:type="dxa"/>
                    <w:right w:w="57" w:type="dxa"/>
                  </w:tcMar>
                  <w:vAlign w:val="center"/>
                </w:tcPr>
                <w:p>
                  <w:pPr>
                    <w:jc w:val="center"/>
                    <w:rPr>
                      <w:sz w:val="18"/>
                      <w:szCs w:val="18"/>
                    </w:rPr>
                  </w:pPr>
                </w:p>
              </w:tc>
              <w:tc>
                <w:tcPr>
                  <w:tcW w:w="1127" w:type="dxa"/>
                  <w:vMerge w:val="continue"/>
                  <w:noWrap w:val="0"/>
                  <w:tcMar>
                    <w:top w:w="0" w:type="dxa"/>
                    <w:left w:w="57" w:type="dxa"/>
                    <w:bottom w:w="0" w:type="dxa"/>
                    <w:right w:w="57" w:type="dxa"/>
                  </w:tcMar>
                  <w:vAlign w:val="center"/>
                </w:tcPr>
                <w:p>
                  <w:pPr>
                    <w:jc w:val="center"/>
                    <w:rPr>
                      <w:sz w:val="18"/>
                      <w:szCs w:val="18"/>
                    </w:rPr>
                  </w:pPr>
                </w:p>
              </w:tc>
              <w:tc>
                <w:tcPr>
                  <w:tcW w:w="539" w:type="dxa"/>
                  <w:vMerge w:val="continue"/>
                  <w:noWrap w:val="0"/>
                  <w:tcMar>
                    <w:top w:w="0" w:type="dxa"/>
                    <w:left w:w="57" w:type="dxa"/>
                    <w:bottom w:w="0" w:type="dxa"/>
                    <w:right w:w="57" w:type="dxa"/>
                  </w:tcMar>
                  <w:vAlign w:val="center"/>
                </w:tcPr>
                <w:p>
                  <w:pPr>
                    <w:jc w:val="center"/>
                    <w:rPr>
                      <w:sz w:val="18"/>
                      <w:szCs w:val="18"/>
                    </w:rPr>
                  </w:pPr>
                </w:p>
              </w:tc>
              <w:tc>
                <w:tcPr>
                  <w:tcW w:w="1014" w:type="dxa"/>
                  <w:vMerge w:val="continue"/>
                  <w:noWrap w:val="0"/>
                  <w:tcMar>
                    <w:top w:w="0" w:type="dxa"/>
                    <w:left w:w="57" w:type="dxa"/>
                    <w:bottom w:w="0" w:type="dxa"/>
                    <w:right w:w="57" w:type="dxa"/>
                  </w:tcMar>
                  <w:vAlign w:val="center"/>
                </w:tcPr>
                <w:p>
                  <w:pPr>
                    <w:jc w:val="center"/>
                    <w:rPr>
                      <w:sz w:val="18"/>
                      <w:szCs w:val="18"/>
                    </w:rPr>
                  </w:pPr>
                </w:p>
              </w:tc>
              <w:tc>
                <w:tcPr>
                  <w:tcW w:w="620" w:type="dxa"/>
                  <w:vMerge w:val="continue"/>
                  <w:noWrap w:val="0"/>
                  <w:tcMar>
                    <w:top w:w="0" w:type="dxa"/>
                    <w:left w:w="57" w:type="dxa"/>
                    <w:bottom w:w="0" w:type="dxa"/>
                    <w:right w:w="57" w:type="dxa"/>
                  </w:tcMar>
                  <w:vAlign w:val="center"/>
                </w:tcPr>
                <w:p>
                  <w:pPr>
                    <w:jc w:val="center"/>
                    <w:rPr>
                      <w:sz w:val="18"/>
                      <w:szCs w:val="18"/>
                    </w:rPr>
                  </w:pPr>
                </w:p>
              </w:tc>
              <w:tc>
                <w:tcPr>
                  <w:tcW w:w="890" w:type="dxa"/>
                  <w:noWrap w:val="0"/>
                  <w:tcMar>
                    <w:top w:w="0" w:type="dxa"/>
                    <w:left w:w="57" w:type="dxa"/>
                    <w:bottom w:w="0" w:type="dxa"/>
                    <w:right w:w="57" w:type="dxa"/>
                  </w:tcMar>
                  <w:vAlign w:val="center"/>
                </w:tcPr>
                <w:p>
                  <w:pPr>
                    <w:pStyle w:val="32"/>
                    <w:jc w:val="center"/>
                    <w:rPr>
                      <w:sz w:val="18"/>
                      <w:szCs w:val="18"/>
                    </w:rPr>
                  </w:pPr>
                  <w:r>
                    <w:rPr>
                      <w:b/>
                      <w:bCs/>
                      <w:sz w:val="18"/>
                      <w:szCs w:val="18"/>
                    </w:rPr>
                    <w:t>固体废物</w:t>
                  </w:r>
                </w:p>
              </w:tc>
              <w:tc>
                <w:tcPr>
                  <w:tcW w:w="670" w:type="dxa"/>
                  <w:noWrap w:val="0"/>
                  <w:tcMar>
                    <w:top w:w="0" w:type="dxa"/>
                    <w:left w:w="57" w:type="dxa"/>
                    <w:bottom w:w="0" w:type="dxa"/>
                    <w:right w:w="57" w:type="dxa"/>
                  </w:tcMar>
                  <w:vAlign w:val="center"/>
                </w:tcPr>
                <w:p>
                  <w:pPr>
                    <w:pStyle w:val="32"/>
                    <w:jc w:val="center"/>
                    <w:rPr>
                      <w:sz w:val="18"/>
                      <w:szCs w:val="18"/>
                    </w:rPr>
                  </w:pPr>
                  <w:r>
                    <w:rPr>
                      <w:b/>
                      <w:bCs/>
                      <w:sz w:val="18"/>
                      <w:szCs w:val="18"/>
                    </w:rPr>
                    <w:t>副产品</w:t>
                  </w:r>
                </w:p>
              </w:tc>
              <w:tc>
                <w:tcPr>
                  <w:tcW w:w="1524" w:type="dxa"/>
                  <w:noWrap w:val="0"/>
                  <w:tcMar>
                    <w:top w:w="0" w:type="dxa"/>
                    <w:left w:w="57" w:type="dxa"/>
                    <w:bottom w:w="0" w:type="dxa"/>
                    <w:right w:w="57" w:type="dxa"/>
                  </w:tcMar>
                  <w:vAlign w:val="center"/>
                </w:tcPr>
                <w:p>
                  <w:pPr>
                    <w:pStyle w:val="32"/>
                    <w:jc w:val="center"/>
                    <w:rPr>
                      <w:b/>
                      <w:bCs/>
                      <w:sz w:val="18"/>
                      <w:szCs w:val="18"/>
                    </w:rPr>
                  </w:pPr>
                  <w:r>
                    <w:rPr>
                      <w:b/>
                      <w:bCs/>
                      <w:sz w:val="18"/>
                      <w:szCs w:val="18"/>
                    </w:rPr>
                    <w:t>判定依据</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14" w:hRule="exact"/>
              </w:trPr>
              <w:tc>
                <w:tcPr>
                  <w:tcW w:w="449" w:type="dxa"/>
                  <w:noWrap w:val="0"/>
                  <w:tcMar>
                    <w:top w:w="0" w:type="dxa"/>
                    <w:left w:w="57" w:type="dxa"/>
                    <w:bottom w:w="0" w:type="dxa"/>
                    <w:right w:w="57" w:type="dxa"/>
                  </w:tcMar>
                  <w:vAlign w:val="center"/>
                </w:tcPr>
                <w:p>
                  <w:pPr>
                    <w:pStyle w:val="32"/>
                    <w:jc w:val="center"/>
                    <w:rPr>
                      <w:sz w:val="18"/>
                      <w:szCs w:val="18"/>
                    </w:rPr>
                  </w:pPr>
                  <w:r>
                    <w:rPr>
                      <w:sz w:val="18"/>
                      <w:szCs w:val="18"/>
                    </w:rPr>
                    <w:t>1</w:t>
                  </w:r>
                </w:p>
              </w:tc>
              <w:tc>
                <w:tcPr>
                  <w:tcW w:w="1109" w:type="dxa"/>
                  <w:noWrap w:val="0"/>
                  <w:tcMar>
                    <w:top w:w="0" w:type="dxa"/>
                    <w:left w:w="57" w:type="dxa"/>
                    <w:bottom w:w="0" w:type="dxa"/>
                    <w:right w:w="57" w:type="dxa"/>
                  </w:tcMar>
                  <w:vAlign w:val="center"/>
                </w:tcPr>
                <w:p>
                  <w:pPr>
                    <w:pStyle w:val="32"/>
                    <w:jc w:val="center"/>
                    <w:rPr>
                      <w:sz w:val="18"/>
                      <w:szCs w:val="18"/>
                    </w:rPr>
                  </w:pPr>
                  <w:r>
                    <w:rPr>
                      <w:rFonts w:hint="eastAsia"/>
                      <w:sz w:val="18"/>
                      <w:szCs w:val="18"/>
                    </w:rPr>
                    <w:t>不合格品及边角料</w:t>
                  </w:r>
                </w:p>
              </w:tc>
              <w:tc>
                <w:tcPr>
                  <w:tcW w:w="1127" w:type="dxa"/>
                  <w:noWrap w:val="0"/>
                  <w:tcMar>
                    <w:top w:w="0" w:type="dxa"/>
                    <w:left w:w="57" w:type="dxa"/>
                    <w:bottom w:w="0" w:type="dxa"/>
                    <w:right w:w="57" w:type="dxa"/>
                  </w:tcMar>
                  <w:vAlign w:val="center"/>
                </w:tcPr>
                <w:p>
                  <w:pPr>
                    <w:pStyle w:val="32"/>
                    <w:jc w:val="center"/>
                    <w:rPr>
                      <w:sz w:val="18"/>
                      <w:szCs w:val="18"/>
                    </w:rPr>
                  </w:pPr>
                  <w:r>
                    <w:rPr>
                      <w:sz w:val="18"/>
                      <w:szCs w:val="18"/>
                    </w:rPr>
                    <w:t>检验</w:t>
                  </w:r>
                </w:p>
              </w:tc>
              <w:tc>
                <w:tcPr>
                  <w:tcW w:w="539" w:type="dxa"/>
                  <w:noWrap w:val="0"/>
                  <w:tcMar>
                    <w:top w:w="0" w:type="dxa"/>
                    <w:left w:w="57" w:type="dxa"/>
                    <w:bottom w:w="0" w:type="dxa"/>
                    <w:right w:w="57" w:type="dxa"/>
                  </w:tcMar>
                  <w:vAlign w:val="center"/>
                </w:tcPr>
                <w:p>
                  <w:pPr>
                    <w:pStyle w:val="32"/>
                    <w:jc w:val="center"/>
                    <w:rPr>
                      <w:sz w:val="18"/>
                      <w:szCs w:val="18"/>
                    </w:rPr>
                  </w:pPr>
                  <w:r>
                    <w:rPr>
                      <w:sz w:val="18"/>
                      <w:szCs w:val="18"/>
                    </w:rPr>
                    <w:t>固态</w:t>
                  </w:r>
                </w:p>
              </w:tc>
              <w:tc>
                <w:tcPr>
                  <w:tcW w:w="1014" w:type="dxa"/>
                  <w:noWrap w:val="0"/>
                  <w:tcMar>
                    <w:top w:w="0" w:type="dxa"/>
                    <w:left w:w="57" w:type="dxa"/>
                    <w:bottom w:w="0" w:type="dxa"/>
                    <w:right w:w="57" w:type="dxa"/>
                  </w:tcMar>
                  <w:vAlign w:val="center"/>
                </w:tcPr>
                <w:p>
                  <w:pPr>
                    <w:pStyle w:val="32"/>
                    <w:jc w:val="center"/>
                    <w:rPr>
                      <w:sz w:val="18"/>
                      <w:szCs w:val="18"/>
                    </w:rPr>
                  </w:pPr>
                  <w:r>
                    <w:rPr>
                      <w:sz w:val="18"/>
                      <w:szCs w:val="18"/>
                    </w:rPr>
                    <w:t>PE</w:t>
                  </w:r>
                </w:p>
              </w:tc>
              <w:tc>
                <w:tcPr>
                  <w:tcW w:w="620" w:type="dxa"/>
                  <w:noWrap w:val="0"/>
                  <w:tcMar>
                    <w:top w:w="0" w:type="dxa"/>
                    <w:left w:w="57" w:type="dxa"/>
                    <w:bottom w:w="0" w:type="dxa"/>
                    <w:right w:w="57" w:type="dxa"/>
                  </w:tcMar>
                  <w:vAlign w:val="center"/>
                </w:tcPr>
                <w:p>
                  <w:pPr>
                    <w:pStyle w:val="32"/>
                    <w:jc w:val="center"/>
                    <w:rPr>
                      <w:rFonts w:hint="eastAsia" w:eastAsia="宋体"/>
                      <w:sz w:val="18"/>
                      <w:szCs w:val="18"/>
                      <w:lang w:eastAsia="zh-CN"/>
                    </w:rPr>
                  </w:pPr>
                  <w:r>
                    <w:rPr>
                      <w:rFonts w:hint="eastAsia"/>
                      <w:sz w:val="18"/>
                      <w:szCs w:val="18"/>
                      <w:lang w:val="en-US" w:eastAsia="zh-CN"/>
                    </w:rPr>
                    <w:t>1</w:t>
                  </w:r>
                </w:p>
              </w:tc>
              <w:tc>
                <w:tcPr>
                  <w:tcW w:w="890" w:type="dxa"/>
                  <w:noWrap w:val="0"/>
                  <w:tcMar>
                    <w:top w:w="0" w:type="dxa"/>
                    <w:left w:w="57" w:type="dxa"/>
                    <w:bottom w:w="0" w:type="dxa"/>
                    <w:right w:w="57" w:type="dxa"/>
                  </w:tcMar>
                  <w:vAlign w:val="center"/>
                </w:tcPr>
                <w:p>
                  <w:pPr>
                    <w:pStyle w:val="32"/>
                    <w:jc w:val="center"/>
                    <w:rPr>
                      <w:sz w:val="18"/>
                      <w:szCs w:val="18"/>
                    </w:rPr>
                  </w:pPr>
                  <w:r>
                    <w:rPr>
                      <w:sz w:val="18"/>
                      <w:szCs w:val="18"/>
                    </w:rPr>
                    <w:t>√</w:t>
                  </w:r>
                </w:p>
              </w:tc>
              <w:tc>
                <w:tcPr>
                  <w:tcW w:w="670" w:type="dxa"/>
                  <w:noWrap w:val="0"/>
                  <w:tcMar>
                    <w:top w:w="0" w:type="dxa"/>
                    <w:left w:w="57" w:type="dxa"/>
                    <w:bottom w:w="0" w:type="dxa"/>
                    <w:right w:w="57" w:type="dxa"/>
                  </w:tcMar>
                  <w:vAlign w:val="center"/>
                </w:tcPr>
                <w:p>
                  <w:pPr>
                    <w:pStyle w:val="32"/>
                    <w:jc w:val="center"/>
                    <w:rPr>
                      <w:sz w:val="18"/>
                      <w:szCs w:val="18"/>
                    </w:rPr>
                  </w:pPr>
                  <w:r>
                    <w:rPr>
                      <w:sz w:val="18"/>
                      <w:szCs w:val="18"/>
                    </w:rPr>
                    <w:t>/</w:t>
                  </w:r>
                </w:p>
              </w:tc>
              <w:tc>
                <w:tcPr>
                  <w:tcW w:w="1524" w:type="dxa"/>
                  <w:vMerge w:val="restart"/>
                  <w:noWrap w:val="0"/>
                  <w:tcMar>
                    <w:top w:w="0" w:type="dxa"/>
                    <w:left w:w="57" w:type="dxa"/>
                    <w:bottom w:w="0" w:type="dxa"/>
                    <w:right w:w="57" w:type="dxa"/>
                  </w:tcMar>
                  <w:vAlign w:val="center"/>
                </w:tcPr>
                <w:p>
                  <w:pPr>
                    <w:jc w:val="center"/>
                    <w:rPr>
                      <w:sz w:val="18"/>
                      <w:szCs w:val="18"/>
                    </w:rPr>
                  </w:pPr>
                  <w:r>
                    <w:rPr>
                      <w:sz w:val="18"/>
                      <w:szCs w:val="18"/>
                    </w:rPr>
                    <w:t>《固体废物鉴别标准通则》</w:t>
                  </w:r>
                  <w:r>
                    <w:rPr>
                      <w:spacing w:val="-1"/>
                      <w:sz w:val="18"/>
                      <w:szCs w:val="18"/>
                    </w:rPr>
                    <w:t>（GB34330-</w:t>
                  </w:r>
                  <w:r>
                    <w:rPr>
                      <w:sz w:val="18"/>
                      <w:szCs w:val="18"/>
                    </w:rPr>
                    <w:t>2017）</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449" w:type="dxa"/>
                  <w:noWrap w:val="0"/>
                  <w:tcMar>
                    <w:top w:w="0" w:type="dxa"/>
                    <w:left w:w="57" w:type="dxa"/>
                    <w:bottom w:w="0" w:type="dxa"/>
                    <w:right w:w="57" w:type="dxa"/>
                  </w:tcMar>
                  <w:vAlign w:val="center"/>
                </w:tcPr>
                <w:p>
                  <w:pPr>
                    <w:pStyle w:val="32"/>
                    <w:jc w:val="center"/>
                    <w:rPr>
                      <w:sz w:val="18"/>
                      <w:szCs w:val="18"/>
                    </w:rPr>
                  </w:pPr>
                  <w:r>
                    <w:rPr>
                      <w:sz w:val="18"/>
                      <w:szCs w:val="18"/>
                    </w:rPr>
                    <w:t>2</w:t>
                  </w:r>
                </w:p>
              </w:tc>
              <w:tc>
                <w:tcPr>
                  <w:tcW w:w="1109" w:type="dxa"/>
                  <w:noWrap w:val="0"/>
                  <w:tcMar>
                    <w:top w:w="0" w:type="dxa"/>
                    <w:left w:w="57" w:type="dxa"/>
                    <w:bottom w:w="0" w:type="dxa"/>
                    <w:right w:w="57" w:type="dxa"/>
                  </w:tcMar>
                  <w:vAlign w:val="center"/>
                </w:tcPr>
                <w:p>
                  <w:pPr>
                    <w:pStyle w:val="32"/>
                    <w:jc w:val="center"/>
                    <w:rPr>
                      <w:sz w:val="18"/>
                      <w:szCs w:val="18"/>
                    </w:rPr>
                  </w:pPr>
                  <w:r>
                    <w:rPr>
                      <w:sz w:val="18"/>
                      <w:szCs w:val="18"/>
                    </w:rPr>
                    <w:t>废包装材料</w:t>
                  </w:r>
                </w:p>
              </w:tc>
              <w:tc>
                <w:tcPr>
                  <w:tcW w:w="1127" w:type="dxa"/>
                  <w:noWrap w:val="0"/>
                  <w:tcMar>
                    <w:top w:w="0" w:type="dxa"/>
                    <w:left w:w="57" w:type="dxa"/>
                    <w:bottom w:w="0" w:type="dxa"/>
                    <w:right w:w="57" w:type="dxa"/>
                  </w:tcMar>
                  <w:vAlign w:val="center"/>
                </w:tcPr>
                <w:p>
                  <w:pPr>
                    <w:pStyle w:val="32"/>
                    <w:jc w:val="center"/>
                    <w:rPr>
                      <w:sz w:val="18"/>
                      <w:szCs w:val="18"/>
                    </w:rPr>
                  </w:pPr>
                  <w:r>
                    <w:rPr>
                      <w:sz w:val="18"/>
                      <w:szCs w:val="18"/>
                    </w:rPr>
                    <w:t>原辅料拆包</w:t>
                  </w:r>
                </w:p>
              </w:tc>
              <w:tc>
                <w:tcPr>
                  <w:tcW w:w="539" w:type="dxa"/>
                  <w:noWrap w:val="0"/>
                  <w:tcMar>
                    <w:top w:w="0" w:type="dxa"/>
                    <w:left w:w="57" w:type="dxa"/>
                    <w:bottom w:w="0" w:type="dxa"/>
                    <w:right w:w="57" w:type="dxa"/>
                  </w:tcMar>
                  <w:vAlign w:val="center"/>
                </w:tcPr>
                <w:p>
                  <w:pPr>
                    <w:pStyle w:val="32"/>
                    <w:jc w:val="center"/>
                    <w:rPr>
                      <w:sz w:val="18"/>
                      <w:szCs w:val="18"/>
                    </w:rPr>
                  </w:pPr>
                  <w:r>
                    <w:rPr>
                      <w:sz w:val="18"/>
                      <w:szCs w:val="18"/>
                    </w:rPr>
                    <w:t>固态</w:t>
                  </w:r>
                </w:p>
              </w:tc>
              <w:tc>
                <w:tcPr>
                  <w:tcW w:w="1014" w:type="dxa"/>
                  <w:noWrap w:val="0"/>
                  <w:tcMar>
                    <w:top w:w="0" w:type="dxa"/>
                    <w:left w:w="57" w:type="dxa"/>
                    <w:bottom w:w="0" w:type="dxa"/>
                    <w:right w:w="57" w:type="dxa"/>
                  </w:tcMar>
                  <w:vAlign w:val="center"/>
                </w:tcPr>
                <w:p>
                  <w:pPr>
                    <w:pStyle w:val="32"/>
                    <w:jc w:val="center"/>
                    <w:rPr>
                      <w:sz w:val="18"/>
                      <w:szCs w:val="18"/>
                    </w:rPr>
                  </w:pPr>
                  <w:r>
                    <w:rPr>
                      <w:sz w:val="18"/>
                      <w:szCs w:val="18"/>
                    </w:rPr>
                    <w:t>塑料薄膜</w:t>
                  </w:r>
                </w:p>
              </w:tc>
              <w:tc>
                <w:tcPr>
                  <w:tcW w:w="620" w:type="dxa"/>
                  <w:noWrap w:val="0"/>
                  <w:tcMar>
                    <w:top w:w="0" w:type="dxa"/>
                    <w:left w:w="57" w:type="dxa"/>
                    <w:bottom w:w="0" w:type="dxa"/>
                    <w:right w:w="57" w:type="dxa"/>
                  </w:tcMar>
                  <w:vAlign w:val="center"/>
                </w:tcPr>
                <w:p>
                  <w:pPr>
                    <w:pStyle w:val="32"/>
                    <w:jc w:val="center"/>
                    <w:rPr>
                      <w:rFonts w:hint="default" w:eastAsia="宋体"/>
                      <w:sz w:val="18"/>
                      <w:szCs w:val="18"/>
                      <w:lang w:val="en-US" w:eastAsia="zh-CN"/>
                    </w:rPr>
                  </w:pPr>
                  <w:r>
                    <w:rPr>
                      <w:rFonts w:hint="eastAsia"/>
                      <w:sz w:val="18"/>
                      <w:szCs w:val="18"/>
                      <w:lang w:val="en-US" w:eastAsia="zh-CN"/>
                    </w:rPr>
                    <w:t>0.5</w:t>
                  </w:r>
                </w:p>
              </w:tc>
              <w:tc>
                <w:tcPr>
                  <w:tcW w:w="890" w:type="dxa"/>
                  <w:noWrap w:val="0"/>
                  <w:tcMar>
                    <w:top w:w="0" w:type="dxa"/>
                    <w:left w:w="57" w:type="dxa"/>
                    <w:bottom w:w="0" w:type="dxa"/>
                    <w:right w:w="57" w:type="dxa"/>
                  </w:tcMar>
                  <w:vAlign w:val="center"/>
                </w:tcPr>
                <w:p>
                  <w:pPr>
                    <w:pStyle w:val="32"/>
                    <w:jc w:val="center"/>
                    <w:rPr>
                      <w:sz w:val="18"/>
                      <w:szCs w:val="18"/>
                    </w:rPr>
                  </w:pPr>
                  <w:r>
                    <w:rPr>
                      <w:sz w:val="18"/>
                      <w:szCs w:val="18"/>
                    </w:rPr>
                    <w:t>√</w:t>
                  </w:r>
                </w:p>
              </w:tc>
              <w:tc>
                <w:tcPr>
                  <w:tcW w:w="670" w:type="dxa"/>
                  <w:noWrap w:val="0"/>
                  <w:tcMar>
                    <w:top w:w="0" w:type="dxa"/>
                    <w:left w:w="57" w:type="dxa"/>
                    <w:bottom w:w="0" w:type="dxa"/>
                    <w:right w:w="57" w:type="dxa"/>
                  </w:tcMar>
                  <w:vAlign w:val="center"/>
                </w:tcPr>
                <w:p>
                  <w:pPr>
                    <w:pStyle w:val="32"/>
                    <w:jc w:val="center"/>
                    <w:rPr>
                      <w:sz w:val="18"/>
                      <w:szCs w:val="18"/>
                    </w:rPr>
                  </w:pPr>
                  <w:r>
                    <w:rPr>
                      <w:sz w:val="18"/>
                      <w:szCs w:val="18"/>
                    </w:rPr>
                    <w:t>/</w:t>
                  </w:r>
                </w:p>
              </w:tc>
              <w:tc>
                <w:tcPr>
                  <w:tcW w:w="1524" w:type="dxa"/>
                  <w:vMerge w:val="continue"/>
                  <w:noWrap w:val="0"/>
                  <w:tcMar>
                    <w:top w:w="0" w:type="dxa"/>
                    <w:left w:w="57" w:type="dxa"/>
                    <w:bottom w:w="0" w:type="dxa"/>
                    <w:right w:w="57" w:type="dxa"/>
                  </w:tcMar>
                  <w:vAlign w:val="center"/>
                </w:tcPr>
                <w:p>
                  <w:pPr>
                    <w:jc w:val="center"/>
                    <w:rPr>
                      <w:sz w:val="18"/>
                      <w:szCs w:val="18"/>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449" w:type="dxa"/>
                  <w:noWrap w:val="0"/>
                  <w:tcMar>
                    <w:top w:w="0" w:type="dxa"/>
                    <w:left w:w="57" w:type="dxa"/>
                    <w:bottom w:w="0" w:type="dxa"/>
                    <w:right w:w="57" w:type="dxa"/>
                  </w:tcMar>
                  <w:vAlign w:val="center"/>
                </w:tcPr>
                <w:p>
                  <w:pPr>
                    <w:pStyle w:val="32"/>
                    <w:jc w:val="center"/>
                    <w:rPr>
                      <w:sz w:val="18"/>
                      <w:szCs w:val="18"/>
                    </w:rPr>
                  </w:pPr>
                  <w:r>
                    <w:rPr>
                      <w:sz w:val="18"/>
                      <w:szCs w:val="18"/>
                    </w:rPr>
                    <w:t>3</w:t>
                  </w:r>
                </w:p>
              </w:tc>
              <w:tc>
                <w:tcPr>
                  <w:tcW w:w="1109" w:type="dxa"/>
                  <w:noWrap w:val="0"/>
                  <w:tcMar>
                    <w:top w:w="0" w:type="dxa"/>
                    <w:left w:w="57" w:type="dxa"/>
                    <w:bottom w:w="0" w:type="dxa"/>
                    <w:right w:w="57" w:type="dxa"/>
                  </w:tcMar>
                  <w:vAlign w:val="center"/>
                </w:tcPr>
                <w:p>
                  <w:pPr>
                    <w:pStyle w:val="32"/>
                    <w:jc w:val="center"/>
                    <w:rPr>
                      <w:rFonts w:hint="eastAsia" w:eastAsia="宋体"/>
                      <w:sz w:val="18"/>
                      <w:szCs w:val="18"/>
                      <w:lang w:eastAsia="zh-CN"/>
                    </w:rPr>
                  </w:pPr>
                  <w:r>
                    <w:rPr>
                      <w:sz w:val="18"/>
                      <w:szCs w:val="18"/>
                    </w:rPr>
                    <w:t>废活性炭</w:t>
                  </w:r>
                </w:p>
              </w:tc>
              <w:tc>
                <w:tcPr>
                  <w:tcW w:w="1127" w:type="dxa"/>
                  <w:noWrap w:val="0"/>
                  <w:tcMar>
                    <w:top w:w="0" w:type="dxa"/>
                    <w:left w:w="57" w:type="dxa"/>
                    <w:bottom w:w="0" w:type="dxa"/>
                    <w:right w:w="57" w:type="dxa"/>
                  </w:tcMar>
                  <w:vAlign w:val="center"/>
                </w:tcPr>
                <w:p>
                  <w:pPr>
                    <w:pStyle w:val="32"/>
                    <w:jc w:val="center"/>
                    <w:rPr>
                      <w:sz w:val="18"/>
                      <w:szCs w:val="18"/>
                    </w:rPr>
                  </w:pPr>
                  <w:r>
                    <w:rPr>
                      <w:sz w:val="18"/>
                      <w:szCs w:val="18"/>
                    </w:rPr>
                    <w:t>废气处理</w:t>
                  </w:r>
                </w:p>
              </w:tc>
              <w:tc>
                <w:tcPr>
                  <w:tcW w:w="539" w:type="dxa"/>
                  <w:noWrap w:val="0"/>
                  <w:tcMar>
                    <w:top w:w="0" w:type="dxa"/>
                    <w:left w:w="57" w:type="dxa"/>
                    <w:bottom w:w="0" w:type="dxa"/>
                    <w:right w:w="57" w:type="dxa"/>
                  </w:tcMar>
                  <w:vAlign w:val="center"/>
                </w:tcPr>
                <w:p>
                  <w:pPr>
                    <w:pStyle w:val="32"/>
                    <w:jc w:val="center"/>
                    <w:rPr>
                      <w:sz w:val="18"/>
                      <w:szCs w:val="18"/>
                    </w:rPr>
                  </w:pPr>
                  <w:r>
                    <w:rPr>
                      <w:sz w:val="18"/>
                      <w:szCs w:val="18"/>
                    </w:rPr>
                    <w:t>固态</w:t>
                  </w:r>
                </w:p>
              </w:tc>
              <w:tc>
                <w:tcPr>
                  <w:tcW w:w="1014" w:type="dxa"/>
                  <w:noWrap w:val="0"/>
                  <w:tcMar>
                    <w:top w:w="0" w:type="dxa"/>
                    <w:left w:w="57" w:type="dxa"/>
                    <w:bottom w:w="0" w:type="dxa"/>
                    <w:right w:w="57" w:type="dxa"/>
                  </w:tcMar>
                  <w:vAlign w:val="center"/>
                </w:tcPr>
                <w:p>
                  <w:pPr>
                    <w:pStyle w:val="32"/>
                    <w:jc w:val="center"/>
                    <w:rPr>
                      <w:sz w:val="18"/>
                      <w:szCs w:val="18"/>
                    </w:rPr>
                  </w:pPr>
                  <w:r>
                    <w:rPr>
                      <w:sz w:val="18"/>
                      <w:szCs w:val="18"/>
                    </w:rPr>
                    <w:t>有机废气</w:t>
                  </w:r>
                </w:p>
              </w:tc>
              <w:tc>
                <w:tcPr>
                  <w:tcW w:w="620" w:type="dxa"/>
                  <w:noWrap w:val="0"/>
                  <w:tcMar>
                    <w:top w:w="0" w:type="dxa"/>
                    <w:left w:w="57" w:type="dxa"/>
                    <w:bottom w:w="0" w:type="dxa"/>
                    <w:right w:w="57" w:type="dxa"/>
                  </w:tcMar>
                  <w:vAlign w:val="center"/>
                </w:tcPr>
                <w:p>
                  <w:pPr>
                    <w:pStyle w:val="32"/>
                    <w:jc w:val="center"/>
                    <w:rPr>
                      <w:sz w:val="18"/>
                      <w:szCs w:val="18"/>
                    </w:rPr>
                  </w:pPr>
                  <w:r>
                    <w:rPr>
                      <w:rFonts w:hint="eastAsia"/>
                      <w:sz w:val="18"/>
                      <w:szCs w:val="18"/>
                      <w:lang w:val="en-US" w:eastAsia="zh-CN"/>
                    </w:rPr>
                    <w:t>1.114</w:t>
                  </w:r>
                </w:p>
              </w:tc>
              <w:tc>
                <w:tcPr>
                  <w:tcW w:w="890" w:type="dxa"/>
                  <w:noWrap w:val="0"/>
                  <w:tcMar>
                    <w:top w:w="0" w:type="dxa"/>
                    <w:left w:w="57" w:type="dxa"/>
                    <w:bottom w:w="0" w:type="dxa"/>
                    <w:right w:w="57" w:type="dxa"/>
                  </w:tcMar>
                  <w:vAlign w:val="center"/>
                </w:tcPr>
                <w:p>
                  <w:pPr>
                    <w:pStyle w:val="32"/>
                    <w:jc w:val="center"/>
                    <w:rPr>
                      <w:sz w:val="18"/>
                      <w:szCs w:val="18"/>
                    </w:rPr>
                  </w:pPr>
                  <w:r>
                    <w:rPr>
                      <w:sz w:val="18"/>
                      <w:szCs w:val="18"/>
                    </w:rPr>
                    <w:t>√</w:t>
                  </w:r>
                </w:p>
              </w:tc>
              <w:tc>
                <w:tcPr>
                  <w:tcW w:w="670" w:type="dxa"/>
                  <w:noWrap w:val="0"/>
                  <w:tcMar>
                    <w:top w:w="0" w:type="dxa"/>
                    <w:left w:w="57" w:type="dxa"/>
                    <w:bottom w:w="0" w:type="dxa"/>
                    <w:right w:w="57" w:type="dxa"/>
                  </w:tcMar>
                  <w:vAlign w:val="center"/>
                </w:tcPr>
                <w:p>
                  <w:pPr>
                    <w:pStyle w:val="32"/>
                    <w:jc w:val="center"/>
                    <w:rPr>
                      <w:sz w:val="18"/>
                      <w:szCs w:val="18"/>
                    </w:rPr>
                  </w:pPr>
                  <w:r>
                    <w:rPr>
                      <w:sz w:val="18"/>
                      <w:szCs w:val="18"/>
                    </w:rPr>
                    <w:t>/</w:t>
                  </w:r>
                </w:p>
              </w:tc>
              <w:tc>
                <w:tcPr>
                  <w:tcW w:w="1524" w:type="dxa"/>
                  <w:vMerge w:val="continue"/>
                  <w:noWrap w:val="0"/>
                  <w:tcMar>
                    <w:top w:w="0" w:type="dxa"/>
                    <w:left w:w="57" w:type="dxa"/>
                    <w:bottom w:w="0" w:type="dxa"/>
                    <w:right w:w="57" w:type="dxa"/>
                  </w:tcMar>
                  <w:vAlign w:val="center"/>
                </w:tcPr>
                <w:p>
                  <w:pPr>
                    <w:jc w:val="center"/>
                    <w:rPr>
                      <w:sz w:val="18"/>
                      <w:szCs w:val="18"/>
                    </w:rP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449" w:type="dxa"/>
                  <w:noWrap w:val="0"/>
                  <w:tcMar>
                    <w:top w:w="0" w:type="dxa"/>
                    <w:left w:w="57" w:type="dxa"/>
                    <w:bottom w:w="0" w:type="dxa"/>
                    <w:right w:w="57" w:type="dxa"/>
                  </w:tcMar>
                  <w:vAlign w:val="center"/>
                </w:tcPr>
                <w:p>
                  <w:pPr>
                    <w:pStyle w:val="32"/>
                    <w:jc w:val="center"/>
                    <w:rPr>
                      <w:rFonts w:hint="eastAsia" w:eastAsia="宋体"/>
                      <w:sz w:val="18"/>
                      <w:szCs w:val="18"/>
                      <w:lang w:eastAsia="zh-CN"/>
                    </w:rPr>
                  </w:pPr>
                  <w:r>
                    <w:rPr>
                      <w:rFonts w:hint="eastAsia"/>
                      <w:sz w:val="18"/>
                      <w:szCs w:val="18"/>
                      <w:lang w:val="en-US" w:eastAsia="zh-CN"/>
                    </w:rPr>
                    <w:t>4</w:t>
                  </w:r>
                </w:p>
              </w:tc>
              <w:tc>
                <w:tcPr>
                  <w:tcW w:w="1109" w:type="dxa"/>
                  <w:noWrap w:val="0"/>
                  <w:tcMar>
                    <w:top w:w="0" w:type="dxa"/>
                    <w:left w:w="57" w:type="dxa"/>
                    <w:bottom w:w="0" w:type="dxa"/>
                    <w:right w:w="57" w:type="dxa"/>
                  </w:tcMar>
                  <w:vAlign w:val="center"/>
                </w:tcPr>
                <w:p>
                  <w:pPr>
                    <w:pStyle w:val="32"/>
                    <w:jc w:val="center"/>
                    <w:rPr>
                      <w:sz w:val="18"/>
                      <w:szCs w:val="18"/>
                    </w:rPr>
                  </w:pPr>
                  <w:r>
                    <w:rPr>
                      <w:sz w:val="18"/>
                      <w:szCs w:val="18"/>
                    </w:rPr>
                    <w:t>生活垃圾</w:t>
                  </w:r>
                </w:p>
              </w:tc>
              <w:tc>
                <w:tcPr>
                  <w:tcW w:w="1127" w:type="dxa"/>
                  <w:noWrap w:val="0"/>
                  <w:tcMar>
                    <w:top w:w="0" w:type="dxa"/>
                    <w:left w:w="57" w:type="dxa"/>
                    <w:bottom w:w="0" w:type="dxa"/>
                    <w:right w:w="57" w:type="dxa"/>
                  </w:tcMar>
                  <w:vAlign w:val="center"/>
                </w:tcPr>
                <w:p>
                  <w:pPr>
                    <w:pStyle w:val="32"/>
                    <w:jc w:val="center"/>
                    <w:rPr>
                      <w:sz w:val="18"/>
                      <w:szCs w:val="18"/>
                    </w:rPr>
                  </w:pPr>
                  <w:r>
                    <w:rPr>
                      <w:sz w:val="18"/>
                      <w:szCs w:val="18"/>
                    </w:rPr>
                    <w:t>办公生活</w:t>
                  </w:r>
                </w:p>
              </w:tc>
              <w:tc>
                <w:tcPr>
                  <w:tcW w:w="539" w:type="dxa"/>
                  <w:noWrap w:val="0"/>
                  <w:tcMar>
                    <w:top w:w="0" w:type="dxa"/>
                    <w:left w:w="57" w:type="dxa"/>
                    <w:bottom w:w="0" w:type="dxa"/>
                    <w:right w:w="57" w:type="dxa"/>
                  </w:tcMar>
                  <w:vAlign w:val="center"/>
                </w:tcPr>
                <w:p>
                  <w:pPr>
                    <w:pStyle w:val="32"/>
                    <w:jc w:val="center"/>
                    <w:rPr>
                      <w:sz w:val="18"/>
                      <w:szCs w:val="18"/>
                    </w:rPr>
                  </w:pPr>
                  <w:r>
                    <w:rPr>
                      <w:sz w:val="18"/>
                      <w:szCs w:val="18"/>
                    </w:rPr>
                    <w:t>固态</w:t>
                  </w:r>
                </w:p>
              </w:tc>
              <w:tc>
                <w:tcPr>
                  <w:tcW w:w="1014" w:type="dxa"/>
                  <w:noWrap w:val="0"/>
                  <w:tcMar>
                    <w:top w:w="0" w:type="dxa"/>
                    <w:left w:w="57" w:type="dxa"/>
                    <w:bottom w:w="0" w:type="dxa"/>
                    <w:right w:w="57" w:type="dxa"/>
                  </w:tcMar>
                  <w:vAlign w:val="center"/>
                </w:tcPr>
                <w:p>
                  <w:pPr>
                    <w:pStyle w:val="32"/>
                    <w:jc w:val="center"/>
                    <w:rPr>
                      <w:sz w:val="18"/>
                      <w:szCs w:val="18"/>
                    </w:rPr>
                  </w:pPr>
                  <w:r>
                    <w:rPr>
                      <w:sz w:val="18"/>
                      <w:szCs w:val="18"/>
                    </w:rPr>
                    <w:t>纸、塑料</w:t>
                  </w:r>
                </w:p>
              </w:tc>
              <w:tc>
                <w:tcPr>
                  <w:tcW w:w="620" w:type="dxa"/>
                  <w:noWrap w:val="0"/>
                  <w:tcMar>
                    <w:top w:w="0" w:type="dxa"/>
                    <w:left w:w="57" w:type="dxa"/>
                    <w:bottom w:w="0" w:type="dxa"/>
                    <w:right w:w="57" w:type="dxa"/>
                  </w:tcMar>
                  <w:vAlign w:val="center"/>
                </w:tcPr>
                <w:p>
                  <w:pPr>
                    <w:pStyle w:val="32"/>
                    <w:jc w:val="center"/>
                    <w:rPr>
                      <w:rFonts w:hint="default" w:eastAsia="宋体"/>
                      <w:sz w:val="18"/>
                      <w:szCs w:val="18"/>
                      <w:lang w:val="en-US" w:eastAsia="zh-CN"/>
                    </w:rPr>
                  </w:pPr>
                  <w:r>
                    <w:rPr>
                      <w:rFonts w:hint="eastAsia"/>
                      <w:sz w:val="18"/>
                      <w:szCs w:val="18"/>
                      <w:lang w:val="en-US" w:eastAsia="zh-CN"/>
                    </w:rPr>
                    <w:t>2.4</w:t>
                  </w:r>
                </w:p>
              </w:tc>
              <w:tc>
                <w:tcPr>
                  <w:tcW w:w="890" w:type="dxa"/>
                  <w:noWrap w:val="0"/>
                  <w:tcMar>
                    <w:top w:w="0" w:type="dxa"/>
                    <w:left w:w="57" w:type="dxa"/>
                    <w:bottom w:w="0" w:type="dxa"/>
                    <w:right w:w="57" w:type="dxa"/>
                  </w:tcMar>
                  <w:vAlign w:val="center"/>
                </w:tcPr>
                <w:p>
                  <w:pPr>
                    <w:pStyle w:val="32"/>
                    <w:jc w:val="center"/>
                    <w:rPr>
                      <w:sz w:val="18"/>
                      <w:szCs w:val="18"/>
                    </w:rPr>
                  </w:pPr>
                  <w:r>
                    <w:rPr>
                      <w:sz w:val="18"/>
                      <w:szCs w:val="18"/>
                    </w:rPr>
                    <w:t>√</w:t>
                  </w:r>
                </w:p>
              </w:tc>
              <w:tc>
                <w:tcPr>
                  <w:tcW w:w="670" w:type="dxa"/>
                  <w:noWrap w:val="0"/>
                  <w:tcMar>
                    <w:top w:w="0" w:type="dxa"/>
                    <w:left w:w="57" w:type="dxa"/>
                    <w:bottom w:w="0" w:type="dxa"/>
                    <w:right w:w="57" w:type="dxa"/>
                  </w:tcMar>
                  <w:vAlign w:val="center"/>
                </w:tcPr>
                <w:p>
                  <w:pPr>
                    <w:pStyle w:val="32"/>
                    <w:jc w:val="center"/>
                    <w:rPr>
                      <w:sz w:val="18"/>
                      <w:szCs w:val="18"/>
                    </w:rPr>
                  </w:pPr>
                  <w:r>
                    <w:rPr>
                      <w:sz w:val="18"/>
                      <w:szCs w:val="18"/>
                    </w:rPr>
                    <w:t>/</w:t>
                  </w:r>
                </w:p>
              </w:tc>
              <w:tc>
                <w:tcPr>
                  <w:tcW w:w="1524" w:type="dxa"/>
                  <w:vMerge w:val="continue"/>
                  <w:noWrap w:val="0"/>
                  <w:tcMar>
                    <w:top w:w="0" w:type="dxa"/>
                    <w:left w:w="57" w:type="dxa"/>
                    <w:bottom w:w="0" w:type="dxa"/>
                    <w:right w:w="57" w:type="dxa"/>
                  </w:tcMar>
                  <w:vAlign w:val="center"/>
                </w:tcPr>
                <w:p>
                  <w:pPr>
                    <w:jc w:val="center"/>
                    <w:rPr>
                      <w:sz w:val="18"/>
                      <w:szCs w:val="18"/>
                    </w:rPr>
                  </w:pPr>
                </w:p>
              </w:tc>
            </w:tr>
          </w:tbl>
          <w:p>
            <w:pPr>
              <w:spacing w:line="480" w:lineRule="exact"/>
              <w:ind w:firstLine="422" w:firstLineChars="200"/>
              <w:rPr>
                <w:b/>
                <w:bCs/>
              </w:rPr>
            </w:pPr>
            <w:r>
              <w:rPr>
                <w:b/>
                <w:bCs/>
              </w:rPr>
              <w:t>3、固体废物产生情况汇总</w:t>
            </w:r>
          </w:p>
          <w:p>
            <w:pPr>
              <w:spacing w:line="480" w:lineRule="exact"/>
              <w:ind w:firstLine="420" w:firstLineChars="200"/>
            </w:pPr>
            <w:r>
              <w:t>根据《国家危险废物名录》（2021版），判定建设项目固体废物是否属于危险固废。本项目固体废物产生情况汇总见表4-24，本项目危险废物汇总表见表4-25。</w:t>
            </w:r>
          </w:p>
          <w:p>
            <w:pPr>
              <w:tabs>
                <w:tab w:val="left" w:pos="2912"/>
              </w:tabs>
              <w:spacing w:line="480" w:lineRule="exact"/>
              <w:jc w:val="center"/>
              <w:rPr>
                <w:sz w:val="18"/>
                <w:szCs w:val="18"/>
              </w:rPr>
            </w:pPr>
            <w:r>
              <w:rPr>
                <w:b/>
                <w:bCs/>
                <w:sz w:val="18"/>
                <w:szCs w:val="18"/>
              </w:rPr>
              <w:t>表4-24  本项目固体废物产生情况汇总表</w:t>
            </w:r>
          </w:p>
          <w:tbl>
            <w:tblPr>
              <w:tblStyle w:val="21"/>
              <w:tblW w:w="7939"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96"/>
              <w:gridCol w:w="686"/>
              <w:gridCol w:w="1034"/>
              <w:gridCol w:w="553"/>
              <w:gridCol w:w="833"/>
              <w:gridCol w:w="905"/>
              <w:gridCol w:w="572"/>
              <w:gridCol w:w="1103"/>
              <w:gridCol w:w="71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42" w:type="dxa"/>
                  <w:noWrap w:val="0"/>
                  <w:tcMar>
                    <w:top w:w="0" w:type="dxa"/>
                    <w:left w:w="0" w:type="dxa"/>
                    <w:bottom w:w="0" w:type="dxa"/>
                    <w:right w:w="0" w:type="dxa"/>
                  </w:tcMar>
                  <w:vAlign w:val="center"/>
                </w:tcPr>
                <w:p>
                  <w:pPr>
                    <w:jc w:val="center"/>
                    <w:rPr>
                      <w:b/>
                      <w:bCs/>
                      <w:sz w:val="18"/>
                      <w:szCs w:val="18"/>
                    </w:rPr>
                  </w:pPr>
                  <w:r>
                    <w:rPr>
                      <w:b/>
                      <w:bCs/>
                      <w:sz w:val="18"/>
                      <w:szCs w:val="18"/>
                    </w:rPr>
                    <w:t>序号</w:t>
                  </w:r>
                </w:p>
              </w:tc>
              <w:tc>
                <w:tcPr>
                  <w:tcW w:w="996" w:type="dxa"/>
                  <w:noWrap w:val="0"/>
                  <w:tcMar>
                    <w:top w:w="0" w:type="dxa"/>
                    <w:left w:w="0" w:type="dxa"/>
                    <w:bottom w:w="0" w:type="dxa"/>
                    <w:right w:w="0" w:type="dxa"/>
                  </w:tcMar>
                  <w:vAlign w:val="center"/>
                </w:tcPr>
                <w:p>
                  <w:pPr>
                    <w:jc w:val="center"/>
                    <w:rPr>
                      <w:b/>
                      <w:bCs/>
                      <w:sz w:val="18"/>
                      <w:szCs w:val="18"/>
                    </w:rPr>
                  </w:pPr>
                  <w:r>
                    <w:rPr>
                      <w:b/>
                      <w:bCs/>
                      <w:sz w:val="18"/>
                      <w:szCs w:val="18"/>
                    </w:rPr>
                    <w:t>固废名称</w:t>
                  </w:r>
                </w:p>
              </w:tc>
              <w:tc>
                <w:tcPr>
                  <w:tcW w:w="686" w:type="dxa"/>
                  <w:noWrap w:val="0"/>
                  <w:tcMar>
                    <w:top w:w="0" w:type="dxa"/>
                    <w:left w:w="0" w:type="dxa"/>
                    <w:bottom w:w="0" w:type="dxa"/>
                    <w:right w:w="0" w:type="dxa"/>
                  </w:tcMar>
                  <w:vAlign w:val="center"/>
                </w:tcPr>
                <w:p>
                  <w:pPr>
                    <w:jc w:val="center"/>
                    <w:rPr>
                      <w:b/>
                      <w:bCs/>
                      <w:sz w:val="18"/>
                      <w:szCs w:val="18"/>
                    </w:rPr>
                  </w:pPr>
                  <w:r>
                    <w:rPr>
                      <w:b/>
                      <w:bCs/>
                      <w:sz w:val="18"/>
                      <w:szCs w:val="18"/>
                    </w:rPr>
                    <w:t>属性</w:t>
                  </w:r>
                </w:p>
              </w:tc>
              <w:tc>
                <w:tcPr>
                  <w:tcW w:w="1034" w:type="dxa"/>
                  <w:noWrap w:val="0"/>
                  <w:tcMar>
                    <w:top w:w="0" w:type="dxa"/>
                    <w:left w:w="0" w:type="dxa"/>
                    <w:bottom w:w="0" w:type="dxa"/>
                    <w:right w:w="0" w:type="dxa"/>
                  </w:tcMar>
                  <w:vAlign w:val="center"/>
                </w:tcPr>
                <w:p>
                  <w:pPr>
                    <w:jc w:val="center"/>
                    <w:rPr>
                      <w:b/>
                      <w:bCs/>
                      <w:sz w:val="18"/>
                      <w:szCs w:val="18"/>
                    </w:rPr>
                  </w:pPr>
                  <w:r>
                    <w:rPr>
                      <w:b/>
                      <w:bCs/>
                      <w:sz w:val="18"/>
                      <w:szCs w:val="18"/>
                    </w:rPr>
                    <w:t>产生来源</w:t>
                  </w:r>
                </w:p>
              </w:tc>
              <w:tc>
                <w:tcPr>
                  <w:tcW w:w="553" w:type="dxa"/>
                  <w:noWrap w:val="0"/>
                  <w:tcMar>
                    <w:top w:w="0" w:type="dxa"/>
                    <w:left w:w="0" w:type="dxa"/>
                    <w:bottom w:w="0" w:type="dxa"/>
                    <w:right w:w="0" w:type="dxa"/>
                  </w:tcMar>
                  <w:vAlign w:val="center"/>
                </w:tcPr>
                <w:p>
                  <w:pPr>
                    <w:jc w:val="center"/>
                    <w:rPr>
                      <w:b/>
                      <w:bCs/>
                      <w:sz w:val="18"/>
                      <w:szCs w:val="18"/>
                    </w:rPr>
                  </w:pPr>
                  <w:r>
                    <w:rPr>
                      <w:b/>
                      <w:bCs/>
                      <w:sz w:val="18"/>
                      <w:szCs w:val="18"/>
                    </w:rPr>
                    <w:t>形态</w:t>
                  </w:r>
                </w:p>
              </w:tc>
              <w:tc>
                <w:tcPr>
                  <w:tcW w:w="833" w:type="dxa"/>
                  <w:noWrap w:val="0"/>
                  <w:tcMar>
                    <w:top w:w="0" w:type="dxa"/>
                    <w:left w:w="0" w:type="dxa"/>
                    <w:bottom w:w="0" w:type="dxa"/>
                    <w:right w:w="0" w:type="dxa"/>
                  </w:tcMar>
                  <w:vAlign w:val="center"/>
                </w:tcPr>
                <w:p>
                  <w:pPr>
                    <w:jc w:val="center"/>
                    <w:rPr>
                      <w:b/>
                      <w:bCs/>
                      <w:sz w:val="18"/>
                      <w:szCs w:val="18"/>
                    </w:rPr>
                  </w:pPr>
                  <w:r>
                    <w:rPr>
                      <w:b/>
                      <w:bCs/>
                      <w:sz w:val="18"/>
                      <w:szCs w:val="18"/>
                    </w:rPr>
                    <w:t>主要成分</w:t>
                  </w:r>
                </w:p>
              </w:tc>
              <w:tc>
                <w:tcPr>
                  <w:tcW w:w="905" w:type="dxa"/>
                  <w:noWrap w:val="0"/>
                  <w:tcMar>
                    <w:top w:w="0" w:type="dxa"/>
                    <w:left w:w="0" w:type="dxa"/>
                    <w:bottom w:w="0" w:type="dxa"/>
                    <w:right w:w="0" w:type="dxa"/>
                  </w:tcMar>
                  <w:vAlign w:val="center"/>
                </w:tcPr>
                <w:p>
                  <w:pPr>
                    <w:jc w:val="center"/>
                    <w:rPr>
                      <w:b/>
                      <w:bCs/>
                      <w:sz w:val="18"/>
                      <w:szCs w:val="18"/>
                    </w:rPr>
                  </w:pPr>
                  <w:r>
                    <w:rPr>
                      <w:b/>
                      <w:bCs/>
                      <w:sz w:val="18"/>
                      <w:szCs w:val="18"/>
                    </w:rPr>
                    <w:t>危险特性鉴别方法</w:t>
                  </w:r>
                </w:p>
              </w:tc>
              <w:tc>
                <w:tcPr>
                  <w:tcW w:w="572" w:type="dxa"/>
                  <w:noWrap w:val="0"/>
                  <w:tcMar>
                    <w:top w:w="0" w:type="dxa"/>
                    <w:left w:w="0" w:type="dxa"/>
                    <w:bottom w:w="0" w:type="dxa"/>
                    <w:right w:w="0" w:type="dxa"/>
                  </w:tcMar>
                  <w:vAlign w:val="center"/>
                </w:tcPr>
                <w:p>
                  <w:pPr>
                    <w:jc w:val="center"/>
                    <w:rPr>
                      <w:b/>
                      <w:bCs/>
                      <w:sz w:val="18"/>
                      <w:szCs w:val="18"/>
                    </w:rPr>
                  </w:pPr>
                  <w:r>
                    <w:rPr>
                      <w:b/>
                      <w:bCs/>
                      <w:sz w:val="18"/>
                      <w:szCs w:val="18"/>
                    </w:rPr>
                    <w:t>危险特性</w:t>
                  </w:r>
                </w:p>
              </w:tc>
              <w:tc>
                <w:tcPr>
                  <w:tcW w:w="1103" w:type="dxa"/>
                  <w:noWrap w:val="0"/>
                  <w:tcMar>
                    <w:top w:w="0" w:type="dxa"/>
                    <w:left w:w="0" w:type="dxa"/>
                    <w:bottom w:w="0" w:type="dxa"/>
                    <w:right w:w="0" w:type="dxa"/>
                  </w:tcMar>
                  <w:vAlign w:val="center"/>
                </w:tcPr>
                <w:p>
                  <w:pPr>
                    <w:jc w:val="center"/>
                    <w:rPr>
                      <w:b/>
                      <w:bCs/>
                      <w:sz w:val="18"/>
                      <w:szCs w:val="18"/>
                    </w:rPr>
                  </w:pPr>
                  <w:r>
                    <w:rPr>
                      <w:b/>
                      <w:bCs/>
                      <w:sz w:val="18"/>
                      <w:szCs w:val="18"/>
                    </w:rPr>
                    <w:t>废物类别及代码</w:t>
                  </w:r>
                </w:p>
              </w:tc>
              <w:tc>
                <w:tcPr>
                  <w:tcW w:w="715" w:type="dxa"/>
                  <w:noWrap w:val="0"/>
                  <w:tcMar>
                    <w:top w:w="0" w:type="dxa"/>
                    <w:left w:w="0" w:type="dxa"/>
                    <w:bottom w:w="0" w:type="dxa"/>
                    <w:right w:w="0" w:type="dxa"/>
                  </w:tcMar>
                  <w:vAlign w:val="center"/>
                </w:tcPr>
                <w:p>
                  <w:pPr>
                    <w:jc w:val="center"/>
                    <w:rPr>
                      <w:b/>
                      <w:bCs/>
                      <w:sz w:val="18"/>
                      <w:szCs w:val="18"/>
                    </w:rPr>
                  </w:pPr>
                  <w:r>
                    <w:rPr>
                      <w:b/>
                      <w:bCs/>
                      <w:sz w:val="18"/>
                      <w:szCs w:val="18"/>
                    </w:rPr>
                    <w:t>估算产生量t/a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2" w:type="dxa"/>
                  <w:noWrap w:val="0"/>
                  <w:tcMar>
                    <w:top w:w="0" w:type="dxa"/>
                    <w:left w:w="0" w:type="dxa"/>
                    <w:bottom w:w="0" w:type="dxa"/>
                    <w:right w:w="0" w:type="dxa"/>
                  </w:tcMar>
                  <w:vAlign w:val="center"/>
                </w:tcPr>
                <w:p>
                  <w:pPr>
                    <w:pStyle w:val="32"/>
                    <w:jc w:val="center"/>
                    <w:rPr>
                      <w:sz w:val="18"/>
                      <w:szCs w:val="18"/>
                    </w:rPr>
                  </w:pPr>
                  <w:r>
                    <w:rPr>
                      <w:sz w:val="18"/>
                      <w:szCs w:val="18"/>
                    </w:rPr>
                    <w:t>1</w:t>
                  </w:r>
                </w:p>
              </w:tc>
              <w:tc>
                <w:tcPr>
                  <w:tcW w:w="996" w:type="dxa"/>
                  <w:noWrap w:val="0"/>
                  <w:tcMar>
                    <w:top w:w="0" w:type="dxa"/>
                    <w:left w:w="0" w:type="dxa"/>
                    <w:bottom w:w="0" w:type="dxa"/>
                    <w:right w:w="0" w:type="dxa"/>
                  </w:tcMar>
                  <w:vAlign w:val="center"/>
                </w:tcPr>
                <w:p>
                  <w:pPr>
                    <w:pStyle w:val="32"/>
                    <w:jc w:val="center"/>
                    <w:rPr>
                      <w:sz w:val="18"/>
                      <w:szCs w:val="18"/>
                    </w:rPr>
                  </w:pPr>
                  <w:r>
                    <w:rPr>
                      <w:rFonts w:hint="eastAsia"/>
                      <w:sz w:val="18"/>
                      <w:szCs w:val="18"/>
                    </w:rPr>
                    <w:t>塑料不合格品及边角料</w:t>
                  </w:r>
                </w:p>
              </w:tc>
              <w:tc>
                <w:tcPr>
                  <w:tcW w:w="686" w:type="dxa"/>
                  <w:vMerge w:val="restart"/>
                  <w:noWrap w:val="0"/>
                  <w:tcMar>
                    <w:top w:w="0" w:type="dxa"/>
                    <w:left w:w="0" w:type="dxa"/>
                    <w:bottom w:w="0" w:type="dxa"/>
                    <w:right w:w="0" w:type="dxa"/>
                  </w:tcMar>
                  <w:vAlign w:val="center"/>
                </w:tcPr>
                <w:p>
                  <w:pPr>
                    <w:jc w:val="center"/>
                    <w:rPr>
                      <w:sz w:val="18"/>
                      <w:szCs w:val="18"/>
                    </w:rPr>
                  </w:pPr>
                  <w:r>
                    <w:rPr>
                      <w:sz w:val="18"/>
                      <w:szCs w:val="18"/>
                    </w:rPr>
                    <w:t>一般工业固废</w:t>
                  </w:r>
                </w:p>
              </w:tc>
              <w:tc>
                <w:tcPr>
                  <w:tcW w:w="1034" w:type="dxa"/>
                  <w:noWrap w:val="0"/>
                  <w:tcMar>
                    <w:top w:w="0" w:type="dxa"/>
                    <w:left w:w="0" w:type="dxa"/>
                    <w:bottom w:w="0" w:type="dxa"/>
                    <w:right w:w="0" w:type="dxa"/>
                  </w:tcMar>
                  <w:vAlign w:val="center"/>
                </w:tcPr>
                <w:p>
                  <w:pPr>
                    <w:pStyle w:val="32"/>
                    <w:jc w:val="center"/>
                    <w:rPr>
                      <w:rFonts w:hint="default"/>
                      <w:sz w:val="18"/>
                      <w:szCs w:val="18"/>
                      <w:lang w:val="en-US"/>
                    </w:rPr>
                  </w:pPr>
                  <w:r>
                    <w:rPr>
                      <w:rFonts w:hint="eastAsia"/>
                      <w:sz w:val="18"/>
                      <w:szCs w:val="18"/>
                      <w:lang w:val="en-US" w:eastAsia="zh-CN"/>
                    </w:rPr>
                    <w:t>制袋、烫袋、装袋</w:t>
                  </w:r>
                </w:p>
              </w:tc>
              <w:tc>
                <w:tcPr>
                  <w:tcW w:w="553" w:type="dxa"/>
                  <w:noWrap w:val="0"/>
                  <w:tcMar>
                    <w:top w:w="0" w:type="dxa"/>
                    <w:left w:w="0" w:type="dxa"/>
                    <w:bottom w:w="0" w:type="dxa"/>
                    <w:right w:w="0" w:type="dxa"/>
                  </w:tcMar>
                  <w:vAlign w:val="center"/>
                </w:tcPr>
                <w:p>
                  <w:pPr>
                    <w:pStyle w:val="32"/>
                    <w:jc w:val="center"/>
                    <w:rPr>
                      <w:sz w:val="18"/>
                      <w:szCs w:val="18"/>
                    </w:rPr>
                  </w:pPr>
                  <w:r>
                    <w:rPr>
                      <w:sz w:val="18"/>
                      <w:szCs w:val="18"/>
                    </w:rPr>
                    <w:t>固态</w:t>
                  </w:r>
                </w:p>
              </w:tc>
              <w:tc>
                <w:tcPr>
                  <w:tcW w:w="833" w:type="dxa"/>
                  <w:noWrap w:val="0"/>
                  <w:tcMar>
                    <w:top w:w="0" w:type="dxa"/>
                    <w:left w:w="0" w:type="dxa"/>
                    <w:bottom w:w="0" w:type="dxa"/>
                    <w:right w:w="0" w:type="dxa"/>
                  </w:tcMar>
                  <w:vAlign w:val="center"/>
                </w:tcPr>
                <w:p>
                  <w:pPr>
                    <w:pStyle w:val="32"/>
                    <w:jc w:val="center"/>
                    <w:rPr>
                      <w:sz w:val="18"/>
                      <w:szCs w:val="18"/>
                    </w:rPr>
                  </w:pPr>
                  <w:r>
                    <w:rPr>
                      <w:sz w:val="18"/>
                      <w:szCs w:val="18"/>
                    </w:rPr>
                    <w:t>PE</w:t>
                  </w:r>
                </w:p>
              </w:tc>
              <w:tc>
                <w:tcPr>
                  <w:tcW w:w="905" w:type="dxa"/>
                  <w:vMerge w:val="restart"/>
                  <w:noWrap w:val="0"/>
                  <w:tcMar>
                    <w:top w:w="0" w:type="dxa"/>
                    <w:left w:w="0" w:type="dxa"/>
                    <w:bottom w:w="0" w:type="dxa"/>
                    <w:right w:w="0" w:type="dxa"/>
                  </w:tcMar>
                  <w:vAlign w:val="center"/>
                </w:tcPr>
                <w:p>
                  <w:pPr>
                    <w:jc w:val="center"/>
                    <w:rPr>
                      <w:sz w:val="18"/>
                      <w:szCs w:val="18"/>
                    </w:rPr>
                  </w:pPr>
                  <w:r>
                    <w:rPr>
                      <w:sz w:val="18"/>
                      <w:szCs w:val="18"/>
                    </w:rPr>
                    <w:t>根据《国家危险废物名录》（2021）</w:t>
                  </w:r>
                </w:p>
                <w:p>
                  <w:pPr>
                    <w:jc w:val="center"/>
                    <w:rPr>
                      <w:sz w:val="18"/>
                      <w:szCs w:val="18"/>
                    </w:rPr>
                  </w:pPr>
                </w:p>
              </w:tc>
              <w:tc>
                <w:tcPr>
                  <w:tcW w:w="572" w:type="dxa"/>
                  <w:noWrap w:val="0"/>
                  <w:tcMar>
                    <w:top w:w="0" w:type="dxa"/>
                    <w:left w:w="0" w:type="dxa"/>
                    <w:bottom w:w="0" w:type="dxa"/>
                    <w:right w:w="0" w:type="dxa"/>
                  </w:tcMar>
                  <w:vAlign w:val="center"/>
                </w:tcPr>
                <w:p>
                  <w:pPr>
                    <w:jc w:val="center"/>
                    <w:rPr>
                      <w:sz w:val="18"/>
                      <w:szCs w:val="18"/>
                    </w:rPr>
                  </w:pPr>
                  <w:r>
                    <w:rPr>
                      <w:sz w:val="18"/>
                      <w:szCs w:val="18"/>
                    </w:rPr>
                    <w:t>/</w:t>
                  </w:r>
                </w:p>
              </w:tc>
              <w:tc>
                <w:tcPr>
                  <w:tcW w:w="1103" w:type="dxa"/>
                  <w:noWrap w:val="0"/>
                  <w:tcMar>
                    <w:top w:w="0" w:type="dxa"/>
                    <w:left w:w="0" w:type="dxa"/>
                    <w:bottom w:w="0" w:type="dxa"/>
                    <w:right w:w="0" w:type="dxa"/>
                  </w:tcMar>
                  <w:vAlign w:val="center"/>
                </w:tcPr>
                <w:p>
                  <w:pPr>
                    <w:jc w:val="center"/>
                    <w:rPr>
                      <w:rFonts w:hint="eastAsia"/>
                      <w:sz w:val="18"/>
                      <w:szCs w:val="18"/>
                      <w:lang w:val="en-US" w:eastAsia="zh-CN"/>
                    </w:rPr>
                  </w:pPr>
                  <w:r>
                    <w:rPr>
                      <w:rFonts w:hint="eastAsia"/>
                      <w:sz w:val="18"/>
                      <w:szCs w:val="18"/>
                      <w:lang w:val="en-US" w:eastAsia="zh-CN"/>
                    </w:rPr>
                    <w:t>SW17</w:t>
                  </w:r>
                </w:p>
                <w:p>
                  <w:pPr>
                    <w:jc w:val="center"/>
                    <w:rPr>
                      <w:sz w:val="18"/>
                      <w:szCs w:val="18"/>
                    </w:rPr>
                  </w:pPr>
                  <w:r>
                    <w:rPr>
                      <w:rFonts w:hint="eastAsia"/>
                      <w:sz w:val="18"/>
                      <w:szCs w:val="18"/>
                    </w:rPr>
                    <w:t xml:space="preserve">900-003-S17 </w:t>
                  </w:r>
                </w:p>
              </w:tc>
              <w:tc>
                <w:tcPr>
                  <w:tcW w:w="715" w:type="dxa"/>
                  <w:noWrap w:val="0"/>
                  <w:tcMar>
                    <w:top w:w="0" w:type="dxa"/>
                    <w:left w:w="0" w:type="dxa"/>
                    <w:bottom w:w="0" w:type="dxa"/>
                    <w:right w:w="0" w:type="dxa"/>
                  </w:tcMar>
                  <w:vAlign w:val="center"/>
                </w:tcPr>
                <w:p>
                  <w:pPr>
                    <w:pStyle w:val="32"/>
                    <w:jc w:val="center"/>
                    <w:rPr>
                      <w:rFonts w:hint="eastAsia" w:eastAsia="宋体"/>
                      <w:sz w:val="18"/>
                      <w:szCs w:val="18"/>
                      <w:lang w:val="en-US" w:eastAsia="zh-CN"/>
                    </w:rPr>
                  </w:pPr>
                  <w:r>
                    <w:rPr>
                      <w:rFonts w:hint="eastAsia"/>
                      <w:sz w:val="18"/>
                      <w:szCs w:val="18"/>
                      <w:lang w:val="en-US" w:eastAsia="zh-CN"/>
                    </w:rPr>
                    <w:t>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2" w:type="dxa"/>
                  <w:noWrap w:val="0"/>
                  <w:tcMar>
                    <w:top w:w="0" w:type="dxa"/>
                    <w:left w:w="0" w:type="dxa"/>
                    <w:bottom w:w="0" w:type="dxa"/>
                    <w:right w:w="0" w:type="dxa"/>
                  </w:tcMar>
                  <w:vAlign w:val="center"/>
                </w:tcPr>
                <w:p>
                  <w:pPr>
                    <w:pStyle w:val="32"/>
                    <w:jc w:val="center"/>
                    <w:rPr>
                      <w:rFonts w:hint="eastAsia" w:eastAsia="宋体"/>
                      <w:sz w:val="18"/>
                      <w:szCs w:val="18"/>
                      <w:lang w:eastAsia="zh-CN"/>
                    </w:rPr>
                  </w:pPr>
                  <w:r>
                    <w:rPr>
                      <w:rFonts w:hint="eastAsia"/>
                      <w:sz w:val="18"/>
                      <w:szCs w:val="18"/>
                      <w:lang w:val="en-US" w:eastAsia="zh-CN"/>
                    </w:rPr>
                    <w:t>2</w:t>
                  </w:r>
                </w:p>
              </w:tc>
              <w:tc>
                <w:tcPr>
                  <w:tcW w:w="996" w:type="dxa"/>
                  <w:noWrap w:val="0"/>
                  <w:tcMar>
                    <w:top w:w="0" w:type="dxa"/>
                    <w:left w:w="0" w:type="dxa"/>
                    <w:bottom w:w="0" w:type="dxa"/>
                    <w:right w:w="0" w:type="dxa"/>
                  </w:tcMar>
                  <w:vAlign w:val="center"/>
                </w:tcPr>
                <w:p>
                  <w:pPr>
                    <w:pStyle w:val="32"/>
                    <w:jc w:val="center"/>
                    <w:rPr>
                      <w:sz w:val="18"/>
                      <w:szCs w:val="18"/>
                    </w:rPr>
                  </w:pPr>
                  <w:r>
                    <w:rPr>
                      <w:sz w:val="18"/>
                      <w:szCs w:val="18"/>
                    </w:rPr>
                    <w:t>废包装材料</w:t>
                  </w:r>
                </w:p>
              </w:tc>
              <w:tc>
                <w:tcPr>
                  <w:tcW w:w="686" w:type="dxa"/>
                  <w:vMerge w:val="continue"/>
                  <w:noWrap w:val="0"/>
                  <w:tcMar>
                    <w:top w:w="0" w:type="dxa"/>
                    <w:left w:w="0" w:type="dxa"/>
                    <w:bottom w:w="0" w:type="dxa"/>
                    <w:right w:w="0" w:type="dxa"/>
                  </w:tcMar>
                  <w:vAlign w:val="center"/>
                </w:tcPr>
                <w:p>
                  <w:pPr>
                    <w:jc w:val="center"/>
                    <w:rPr>
                      <w:sz w:val="18"/>
                      <w:szCs w:val="18"/>
                    </w:rPr>
                  </w:pPr>
                </w:p>
              </w:tc>
              <w:tc>
                <w:tcPr>
                  <w:tcW w:w="1034" w:type="dxa"/>
                  <w:noWrap w:val="0"/>
                  <w:tcMar>
                    <w:top w:w="0" w:type="dxa"/>
                    <w:left w:w="0" w:type="dxa"/>
                    <w:bottom w:w="0" w:type="dxa"/>
                    <w:right w:w="0" w:type="dxa"/>
                  </w:tcMar>
                  <w:vAlign w:val="center"/>
                </w:tcPr>
                <w:p>
                  <w:pPr>
                    <w:pStyle w:val="32"/>
                    <w:jc w:val="center"/>
                    <w:rPr>
                      <w:sz w:val="18"/>
                      <w:szCs w:val="18"/>
                    </w:rPr>
                  </w:pPr>
                  <w:r>
                    <w:rPr>
                      <w:sz w:val="18"/>
                      <w:szCs w:val="18"/>
                    </w:rPr>
                    <w:t>原辅料拆包</w:t>
                  </w:r>
                </w:p>
              </w:tc>
              <w:tc>
                <w:tcPr>
                  <w:tcW w:w="553" w:type="dxa"/>
                  <w:noWrap w:val="0"/>
                  <w:tcMar>
                    <w:top w:w="0" w:type="dxa"/>
                    <w:left w:w="0" w:type="dxa"/>
                    <w:bottom w:w="0" w:type="dxa"/>
                    <w:right w:w="0" w:type="dxa"/>
                  </w:tcMar>
                  <w:vAlign w:val="center"/>
                </w:tcPr>
                <w:p>
                  <w:pPr>
                    <w:pStyle w:val="32"/>
                    <w:jc w:val="center"/>
                    <w:rPr>
                      <w:sz w:val="18"/>
                      <w:szCs w:val="18"/>
                    </w:rPr>
                  </w:pPr>
                  <w:r>
                    <w:rPr>
                      <w:sz w:val="18"/>
                      <w:szCs w:val="18"/>
                    </w:rPr>
                    <w:t>固态</w:t>
                  </w:r>
                </w:p>
              </w:tc>
              <w:tc>
                <w:tcPr>
                  <w:tcW w:w="833" w:type="dxa"/>
                  <w:noWrap w:val="0"/>
                  <w:tcMar>
                    <w:top w:w="0" w:type="dxa"/>
                    <w:left w:w="0" w:type="dxa"/>
                    <w:bottom w:w="0" w:type="dxa"/>
                    <w:right w:w="0" w:type="dxa"/>
                  </w:tcMar>
                  <w:vAlign w:val="center"/>
                </w:tcPr>
                <w:p>
                  <w:pPr>
                    <w:pStyle w:val="32"/>
                    <w:jc w:val="center"/>
                    <w:rPr>
                      <w:sz w:val="18"/>
                      <w:szCs w:val="18"/>
                    </w:rPr>
                  </w:pPr>
                  <w:r>
                    <w:rPr>
                      <w:sz w:val="18"/>
                      <w:szCs w:val="18"/>
                    </w:rPr>
                    <w:t>塑料薄膜</w:t>
                  </w:r>
                </w:p>
              </w:tc>
              <w:tc>
                <w:tcPr>
                  <w:tcW w:w="905" w:type="dxa"/>
                  <w:vMerge w:val="continue"/>
                  <w:noWrap w:val="0"/>
                  <w:tcMar>
                    <w:top w:w="0" w:type="dxa"/>
                    <w:left w:w="0" w:type="dxa"/>
                    <w:bottom w:w="0" w:type="dxa"/>
                    <w:right w:w="0" w:type="dxa"/>
                  </w:tcMar>
                  <w:vAlign w:val="center"/>
                </w:tcPr>
                <w:p>
                  <w:pPr>
                    <w:jc w:val="center"/>
                    <w:rPr>
                      <w:sz w:val="18"/>
                      <w:szCs w:val="18"/>
                    </w:rPr>
                  </w:pPr>
                </w:p>
              </w:tc>
              <w:tc>
                <w:tcPr>
                  <w:tcW w:w="572" w:type="dxa"/>
                  <w:noWrap w:val="0"/>
                  <w:tcMar>
                    <w:top w:w="0" w:type="dxa"/>
                    <w:left w:w="0" w:type="dxa"/>
                    <w:bottom w:w="0" w:type="dxa"/>
                    <w:right w:w="0" w:type="dxa"/>
                  </w:tcMar>
                  <w:vAlign w:val="center"/>
                </w:tcPr>
                <w:p>
                  <w:pPr>
                    <w:jc w:val="center"/>
                    <w:rPr>
                      <w:sz w:val="18"/>
                      <w:szCs w:val="18"/>
                    </w:rPr>
                  </w:pPr>
                  <w:r>
                    <w:rPr>
                      <w:sz w:val="18"/>
                      <w:szCs w:val="18"/>
                    </w:rPr>
                    <w:t>/</w:t>
                  </w:r>
                </w:p>
              </w:tc>
              <w:tc>
                <w:tcPr>
                  <w:tcW w:w="1103" w:type="dxa"/>
                  <w:noWrap w:val="0"/>
                  <w:tcMar>
                    <w:top w:w="0" w:type="dxa"/>
                    <w:left w:w="0" w:type="dxa"/>
                    <w:bottom w:w="0" w:type="dxa"/>
                    <w:right w:w="0" w:type="dxa"/>
                  </w:tcMar>
                  <w:vAlign w:val="center"/>
                </w:tcPr>
                <w:p>
                  <w:pPr>
                    <w:jc w:val="center"/>
                    <w:rPr>
                      <w:rFonts w:hint="eastAsia"/>
                      <w:sz w:val="18"/>
                      <w:szCs w:val="18"/>
                      <w:lang w:val="en-US" w:eastAsia="zh-CN"/>
                    </w:rPr>
                  </w:pPr>
                  <w:r>
                    <w:rPr>
                      <w:rFonts w:hint="eastAsia"/>
                      <w:sz w:val="18"/>
                      <w:szCs w:val="18"/>
                      <w:lang w:val="en-US" w:eastAsia="zh-CN"/>
                    </w:rPr>
                    <w:t>SW17</w:t>
                  </w:r>
                </w:p>
                <w:p>
                  <w:pPr>
                    <w:jc w:val="center"/>
                    <w:rPr>
                      <w:sz w:val="18"/>
                      <w:szCs w:val="18"/>
                    </w:rPr>
                  </w:pPr>
                  <w:r>
                    <w:rPr>
                      <w:rFonts w:hint="eastAsia"/>
                      <w:sz w:val="18"/>
                      <w:szCs w:val="18"/>
                    </w:rPr>
                    <w:t>900-003-S17</w:t>
                  </w:r>
                </w:p>
              </w:tc>
              <w:tc>
                <w:tcPr>
                  <w:tcW w:w="715" w:type="dxa"/>
                  <w:noWrap w:val="0"/>
                  <w:tcMar>
                    <w:top w:w="0" w:type="dxa"/>
                    <w:left w:w="0" w:type="dxa"/>
                    <w:bottom w:w="0" w:type="dxa"/>
                    <w:right w:w="0" w:type="dxa"/>
                  </w:tcMar>
                  <w:vAlign w:val="center"/>
                </w:tcPr>
                <w:p>
                  <w:pPr>
                    <w:pStyle w:val="32"/>
                    <w:jc w:val="center"/>
                    <w:rPr>
                      <w:rFonts w:hint="default" w:eastAsia="宋体"/>
                      <w:sz w:val="18"/>
                      <w:szCs w:val="18"/>
                      <w:lang w:val="en-US" w:eastAsia="zh-CN"/>
                    </w:rPr>
                  </w:pPr>
                  <w:r>
                    <w:rPr>
                      <w:rFonts w:hint="eastAsia"/>
                      <w:sz w:val="18"/>
                      <w:szCs w:val="18"/>
                      <w:lang w:val="en-US" w:eastAsia="zh-CN"/>
                    </w:rPr>
                    <w:t>0.5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2" w:type="dxa"/>
                  <w:noWrap w:val="0"/>
                  <w:tcMar>
                    <w:top w:w="0" w:type="dxa"/>
                    <w:left w:w="0" w:type="dxa"/>
                    <w:bottom w:w="0" w:type="dxa"/>
                    <w:right w:w="0" w:type="dxa"/>
                  </w:tcMar>
                  <w:vAlign w:val="center"/>
                </w:tcPr>
                <w:p>
                  <w:pPr>
                    <w:pStyle w:val="32"/>
                    <w:jc w:val="center"/>
                    <w:rPr>
                      <w:rFonts w:hint="eastAsia" w:eastAsia="宋体"/>
                      <w:sz w:val="18"/>
                      <w:szCs w:val="18"/>
                      <w:lang w:eastAsia="zh-CN"/>
                    </w:rPr>
                  </w:pPr>
                  <w:r>
                    <w:rPr>
                      <w:rFonts w:hint="eastAsia"/>
                      <w:sz w:val="18"/>
                      <w:szCs w:val="18"/>
                      <w:lang w:val="en-US" w:eastAsia="zh-CN"/>
                    </w:rPr>
                    <w:t>3</w:t>
                  </w:r>
                </w:p>
              </w:tc>
              <w:tc>
                <w:tcPr>
                  <w:tcW w:w="996" w:type="dxa"/>
                  <w:noWrap w:val="0"/>
                  <w:tcMar>
                    <w:top w:w="0" w:type="dxa"/>
                    <w:left w:w="0" w:type="dxa"/>
                    <w:bottom w:w="0" w:type="dxa"/>
                    <w:right w:w="0" w:type="dxa"/>
                  </w:tcMar>
                  <w:vAlign w:val="center"/>
                </w:tcPr>
                <w:p>
                  <w:pPr>
                    <w:pStyle w:val="32"/>
                    <w:jc w:val="center"/>
                    <w:rPr>
                      <w:rFonts w:hint="eastAsia" w:eastAsia="宋体"/>
                      <w:sz w:val="18"/>
                      <w:szCs w:val="18"/>
                      <w:lang w:eastAsia="zh-CN"/>
                    </w:rPr>
                  </w:pPr>
                  <w:r>
                    <w:rPr>
                      <w:sz w:val="18"/>
                      <w:szCs w:val="18"/>
                    </w:rPr>
                    <w:t>废活性炭</w:t>
                  </w:r>
                </w:p>
              </w:tc>
              <w:tc>
                <w:tcPr>
                  <w:tcW w:w="686" w:type="dxa"/>
                  <w:noWrap w:val="0"/>
                  <w:tcMar>
                    <w:top w:w="0" w:type="dxa"/>
                    <w:left w:w="0" w:type="dxa"/>
                    <w:bottom w:w="0" w:type="dxa"/>
                    <w:right w:w="0" w:type="dxa"/>
                  </w:tcMar>
                  <w:vAlign w:val="center"/>
                </w:tcPr>
                <w:p>
                  <w:pPr>
                    <w:jc w:val="center"/>
                    <w:rPr>
                      <w:sz w:val="18"/>
                      <w:szCs w:val="18"/>
                    </w:rPr>
                  </w:pPr>
                  <w:r>
                    <w:rPr>
                      <w:sz w:val="18"/>
                      <w:szCs w:val="18"/>
                    </w:rPr>
                    <w:t>危险</w:t>
                  </w:r>
                </w:p>
                <w:p>
                  <w:pPr>
                    <w:jc w:val="center"/>
                    <w:rPr>
                      <w:sz w:val="18"/>
                      <w:szCs w:val="18"/>
                    </w:rPr>
                  </w:pPr>
                  <w:r>
                    <w:rPr>
                      <w:sz w:val="18"/>
                      <w:szCs w:val="18"/>
                    </w:rPr>
                    <w:t>废物</w:t>
                  </w:r>
                </w:p>
                <w:p>
                  <w:pPr>
                    <w:jc w:val="center"/>
                    <w:rPr>
                      <w:sz w:val="18"/>
                      <w:szCs w:val="18"/>
                    </w:rPr>
                  </w:pPr>
                </w:p>
              </w:tc>
              <w:tc>
                <w:tcPr>
                  <w:tcW w:w="1034" w:type="dxa"/>
                  <w:noWrap w:val="0"/>
                  <w:tcMar>
                    <w:top w:w="0" w:type="dxa"/>
                    <w:left w:w="0" w:type="dxa"/>
                    <w:bottom w:w="0" w:type="dxa"/>
                    <w:right w:w="0" w:type="dxa"/>
                  </w:tcMar>
                  <w:vAlign w:val="center"/>
                </w:tcPr>
                <w:p>
                  <w:pPr>
                    <w:pStyle w:val="32"/>
                    <w:jc w:val="center"/>
                    <w:rPr>
                      <w:sz w:val="18"/>
                      <w:szCs w:val="18"/>
                    </w:rPr>
                  </w:pPr>
                  <w:r>
                    <w:rPr>
                      <w:sz w:val="18"/>
                      <w:szCs w:val="18"/>
                    </w:rPr>
                    <w:t>废气处理</w:t>
                  </w:r>
                </w:p>
              </w:tc>
              <w:tc>
                <w:tcPr>
                  <w:tcW w:w="553" w:type="dxa"/>
                  <w:noWrap w:val="0"/>
                  <w:tcMar>
                    <w:top w:w="0" w:type="dxa"/>
                    <w:left w:w="0" w:type="dxa"/>
                    <w:bottom w:w="0" w:type="dxa"/>
                    <w:right w:w="0" w:type="dxa"/>
                  </w:tcMar>
                  <w:vAlign w:val="center"/>
                </w:tcPr>
                <w:p>
                  <w:pPr>
                    <w:pStyle w:val="32"/>
                    <w:jc w:val="center"/>
                    <w:rPr>
                      <w:sz w:val="18"/>
                      <w:szCs w:val="18"/>
                    </w:rPr>
                  </w:pPr>
                  <w:r>
                    <w:rPr>
                      <w:sz w:val="18"/>
                      <w:szCs w:val="18"/>
                    </w:rPr>
                    <w:t>固态</w:t>
                  </w:r>
                </w:p>
              </w:tc>
              <w:tc>
                <w:tcPr>
                  <w:tcW w:w="833" w:type="dxa"/>
                  <w:noWrap w:val="0"/>
                  <w:tcMar>
                    <w:top w:w="0" w:type="dxa"/>
                    <w:left w:w="0" w:type="dxa"/>
                    <w:bottom w:w="0" w:type="dxa"/>
                    <w:right w:w="0" w:type="dxa"/>
                  </w:tcMar>
                  <w:vAlign w:val="center"/>
                </w:tcPr>
                <w:p>
                  <w:pPr>
                    <w:pStyle w:val="32"/>
                    <w:jc w:val="center"/>
                    <w:rPr>
                      <w:sz w:val="18"/>
                      <w:szCs w:val="18"/>
                    </w:rPr>
                  </w:pPr>
                  <w:r>
                    <w:rPr>
                      <w:sz w:val="18"/>
                      <w:szCs w:val="18"/>
                    </w:rPr>
                    <w:t>有机废气</w:t>
                  </w:r>
                </w:p>
              </w:tc>
              <w:tc>
                <w:tcPr>
                  <w:tcW w:w="905" w:type="dxa"/>
                  <w:vMerge w:val="continue"/>
                  <w:noWrap w:val="0"/>
                  <w:tcMar>
                    <w:top w:w="0" w:type="dxa"/>
                    <w:left w:w="0" w:type="dxa"/>
                    <w:bottom w:w="0" w:type="dxa"/>
                    <w:right w:w="0" w:type="dxa"/>
                  </w:tcMar>
                  <w:vAlign w:val="center"/>
                </w:tcPr>
                <w:p>
                  <w:pPr>
                    <w:jc w:val="center"/>
                    <w:rPr>
                      <w:sz w:val="18"/>
                      <w:szCs w:val="18"/>
                    </w:rPr>
                  </w:pPr>
                </w:p>
              </w:tc>
              <w:tc>
                <w:tcPr>
                  <w:tcW w:w="572" w:type="dxa"/>
                  <w:noWrap w:val="0"/>
                  <w:tcMar>
                    <w:top w:w="0" w:type="dxa"/>
                    <w:left w:w="0" w:type="dxa"/>
                    <w:bottom w:w="0" w:type="dxa"/>
                    <w:right w:w="0" w:type="dxa"/>
                  </w:tcMar>
                  <w:vAlign w:val="center"/>
                </w:tcPr>
                <w:p>
                  <w:pPr>
                    <w:widowControl/>
                    <w:jc w:val="center"/>
                    <w:rPr>
                      <w:sz w:val="18"/>
                      <w:szCs w:val="18"/>
                    </w:rPr>
                  </w:pPr>
                  <w:r>
                    <w:rPr>
                      <w:sz w:val="18"/>
                      <w:szCs w:val="18"/>
                    </w:rPr>
                    <w:t>T</w:t>
                  </w:r>
                </w:p>
              </w:tc>
              <w:tc>
                <w:tcPr>
                  <w:tcW w:w="1103" w:type="dxa"/>
                  <w:noWrap w:val="0"/>
                  <w:tcMar>
                    <w:top w:w="0" w:type="dxa"/>
                    <w:left w:w="0" w:type="dxa"/>
                    <w:bottom w:w="0" w:type="dxa"/>
                    <w:right w:w="0" w:type="dxa"/>
                  </w:tcMar>
                  <w:vAlign w:val="center"/>
                </w:tcPr>
                <w:p>
                  <w:pPr>
                    <w:jc w:val="center"/>
                    <w:rPr>
                      <w:sz w:val="18"/>
                      <w:szCs w:val="18"/>
                    </w:rPr>
                  </w:pPr>
                  <w:r>
                    <w:rPr>
                      <w:sz w:val="18"/>
                      <w:szCs w:val="18"/>
                    </w:rPr>
                    <w:t>HW49</w:t>
                  </w:r>
                </w:p>
                <w:p>
                  <w:pPr>
                    <w:jc w:val="center"/>
                    <w:rPr>
                      <w:sz w:val="18"/>
                      <w:szCs w:val="18"/>
                    </w:rPr>
                  </w:pPr>
                  <w:r>
                    <w:rPr>
                      <w:sz w:val="18"/>
                      <w:szCs w:val="18"/>
                    </w:rPr>
                    <w:t>900-039-49</w:t>
                  </w:r>
                </w:p>
              </w:tc>
              <w:tc>
                <w:tcPr>
                  <w:tcW w:w="715" w:type="dxa"/>
                  <w:noWrap w:val="0"/>
                  <w:tcMar>
                    <w:top w:w="0" w:type="dxa"/>
                    <w:left w:w="0" w:type="dxa"/>
                    <w:bottom w:w="0" w:type="dxa"/>
                    <w:right w:w="0" w:type="dxa"/>
                  </w:tcMar>
                  <w:vAlign w:val="center"/>
                </w:tcPr>
                <w:p>
                  <w:pPr>
                    <w:pStyle w:val="32"/>
                    <w:jc w:val="center"/>
                    <w:rPr>
                      <w:sz w:val="18"/>
                      <w:szCs w:val="18"/>
                    </w:rPr>
                  </w:pPr>
                  <w:r>
                    <w:rPr>
                      <w:rFonts w:hint="eastAsia"/>
                      <w:sz w:val="18"/>
                      <w:szCs w:val="18"/>
                      <w:lang w:val="en-US" w:eastAsia="zh-CN"/>
                    </w:rPr>
                    <w:t>1.114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42" w:type="dxa"/>
                  <w:noWrap w:val="0"/>
                  <w:tcMar>
                    <w:top w:w="0" w:type="dxa"/>
                    <w:left w:w="0" w:type="dxa"/>
                    <w:bottom w:w="0" w:type="dxa"/>
                    <w:right w:w="0" w:type="dxa"/>
                  </w:tcMar>
                  <w:vAlign w:val="center"/>
                </w:tcPr>
                <w:p>
                  <w:pPr>
                    <w:pStyle w:val="32"/>
                    <w:jc w:val="center"/>
                    <w:rPr>
                      <w:rFonts w:hint="eastAsia" w:eastAsia="宋体"/>
                      <w:sz w:val="18"/>
                      <w:szCs w:val="18"/>
                      <w:lang w:eastAsia="zh-CN"/>
                    </w:rPr>
                  </w:pPr>
                  <w:r>
                    <w:rPr>
                      <w:rFonts w:hint="eastAsia"/>
                      <w:sz w:val="18"/>
                      <w:szCs w:val="18"/>
                      <w:lang w:val="en-US" w:eastAsia="zh-CN"/>
                    </w:rPr>
                    <w:t>4</w:t>
                  </w:r>
                </w:p>
              </w:tc>
              <w:tc>
                <w:tcPr>
                  <w:tcW w:w="996" w:type="dxa"/>
                  <w:noWrap w:val="0"/>
                  <w:tcMar>
                    <w:top w:w="0" w:type="dxa"/>
                    <w:left w:w="0" w:type="dxa"/>
                    <w:bottom w:w="0" w:type="dxa"/>
                    <w:right w:w="0" w:type="dxa"/>
                  </w:tcMar>
                  <w:vAlign w:val="center"/>
                </w:tcPr>
                <w:p>
                  <w:pPr>
                    <w:pStyle w:val="32"/>
                    <w:jc w:val="center"/>
                    <w:rPr>
                      <w:sz w:val="18"/>
                      <w:szCs w:val="18"/>
                    </w:rPr>
                  </w:pPr>
                  <w:r>
                    <w:rPr>
                      <w:sz w:val="18"/>
                      <w:szCs w:val="18"/>
                    </w:rPr>
                    <w:t>生活垃圾</w:t>
                  </w:r>
                </w:p>
              </w:tc>
              <w:tc>
                <w:tcPr>
                  <w:tcW w:w="686" w:type="dxa"/>
                  <w:noWrap w:val="0"/>
                  <w:tcMar>
                    <w:top w:w="0" w:type="dxa"/>
                    <w:left w:w="0" w:type="dxa"/>
                    <w:bottom w:w="0" w:type="dxa"/>
                    <w:right w:w="0" w:type="dxa"/>
                  </w:tcMar>
                  <w:vAlign w:val="center"/>
                </w:tcPr>
                <w:p>
                  <w:pPr>
                    <w:jc w:val="center"/>
                    <w:rPr>
                      <w:sz w:val="18"/>
                      <w:szCs w:val="18"/>
                    </w:rPr>
                  </w:pPr>
                  <w:r>
                    <w:rPr>
                      <w:sz w:val="18"/>
                      <w:szCs w:val="18"/>
                    </w:rPr>
                    <w:t>生活</w:t>
                  </w:r>
                </w:p>
                <w:p>
                  <w:pPr>
                    <w:jc w:val="center"/>
                    <w:rPr>
                      <w:sz w:val="18"/>
                      <w:szCs w:val="18"/>
                    </w:rPr>
                  </w:pPr>
                  <w:r>
                    <w:rPr>
                      <w:sz w:val="18"/>
                      <w:szCs w:val="18"/>
                    </w:rPr>
                    <w:t>垃圾</w:t>
                  </w:r>
                </w:p>
              </w:tc>
              <w:tc>
                <w:tcPr>
                  <w:tcW w:w="1034" w:type="dxa"/>
                  <w:noWrap w:val="0"/>
                  <w:tcMar>
                    <w:top w:w="0" w:type="dxa"/>
                    <w:left w:w="0" w:type="dxa"/>
                    <w:bottom w:w="0" w:type="dxa"/>
                    <w:right w:w="0" w:type="dxa"/>
                  </w:tcMar>
                  <w:vAlign w:val="center"/>
                </w:tcPr>
                <w:p>
                  <w:pPr>
                    <w:pStyle w:val="32"/>
                    <w:jc w:val="center"/>
                    <w:rPr>
                      <w:sz w:val="18"/>
                      <w:szCs w:val="18"/>
                    </w:rPr>
                  </w:pPr>
                  <w:r>
                    <w:rPr>
                      <w:sz w:val="18"/>
                      <w:szCs w:val="18"/>
                    </w:rPr>
                    <w:t>办公生活</w:t>
                  </w:r>
                </w:p>
              </w:tc>
              <w:tc>
                <w:tcPr>
                  <w:tcW w:w="553" w:type="dxa"/>
                  <w:noWrap w:val="0"/>
                  <w:tcMar>
                    <w:top w:w="0" w:type="dxa"/>
                    <w:left w:w="0" w:type="dxa"/>
                    <w:bottom w:w="0" w:type="dxa"/>
                    <w:right w:w="0" w:type="dxa"/>
                  </w:tcMar>
                  <w:vAlign w:val="center"/>
                </w:tcPr>
                <w:p>
                  <w:pPr>
                    <w:pStyle w:val="32"/>
                    <w:jc w:val="center"/>
                    <w:rPr>
                      <w:sz w:val="18"/>
                      <w:szCs w:val="18"/>
                    </w:rPr>
                  </w:pPr>
                  <w:r>
                    <w:rPr>
                      <w:sz w:val="18"/>
                      <w:szCs w:val="18"/>
                    </w:rPr>
                    <w:t>固态</w:t>
                  </w:r>
                </w:p>
              </w:tc>
              <w:tc>
                <w:tcPr>
                  <w:tcW w:w="833" w:type="dxa"/>
                  <w:noWrap w:val="0"/>
                  <w:tcMar>
                    <w:top w:w="0" w:type="dxa"/>
                    <w:left w:w="0" w:type="dxa"/>
                    <w:bottom w:w="0" w:type="dxa"/>
                    <w:right w:w="0" w:type="dxa"/>
                  </w:tcMar>
                  <w:vAlign w:val="center"/>
                </w:tcPr>
                <w:p>
                  <w:pPr>
                    <w:pStyle w:val="32"/>
                    <w:jc w:val="center"/>
                    <w:rPr>
                      <w:sz w:val="18"/>
                      <w:szCs w:val="18"/>
                    </w:rPr>
                  </w:pPr>
                  <w:r>
                    <w:rPr>
                      <w:sz w:val="18"/>
                      <w:szCs w:val="18"/>
                    </w:rPr>
                    <w:t>纸、塑料</w:t>
                  </w:r>
                </w:p>
              </w:tc>
              <w:tc>
                <w:tcPr>
                  <w:tcW w:w="905" w:type="dxa"/>
                  <w:vMerge w:val="continue"/>
                  <w:noWrap w:val="0"/>
                  <w:tcMar>
                    <w:top w:w="0" w:type="dxa"/>
                    <w:left w:w="0" w:type="dxa"/>
                    <w:bottom w:w="0" w:type="dxa"/>
                    <w:right w:w="0" w:type="dxa"/>
                  </w:tcMar>
                  <w:vAlign w:val="center"/>
                </w:tcPr>
                <w:p>
                  <w:pPr>
                    <w:jc w:val="center"/>
                    <w:rPr>
                      <w:sz w:val="18"/>
                      <w:szCs w:val="18"/>
                    </w:rPr>
                  </w:pPr>
                </w:p>
              </w:tc>
              <w:tc>
                <w:tcPr>
                  <w:tcW w:w="572" w:type="dxa"/>
                  <w:noWrap w:val="0"/>
                  <w:tcMar>
                    <w:top w:w="0" w:type="dxa"/>
                    <w:left w:w="0" w:type="dxa"/>
                    <w:bottom w:w="0" w:type="dxa"/>
                    <w:right w:w="0" w:type="dxa"/>
                  </w:tcMar>
                  <w:vAlign w:val="center"/>
                </w:tcPr>
                <w:p>
                  <w:pPr>
                    <w:jc w:val="center"/>
                    <w:rPr>
                      <w:sz w:val="18"/>
                      <w:szCs w:val="18"/>
                    </w:rPr>
                  </w:pPr>
                  <w:r>
                    <w:rPr>
                      <w:sz w:val="18"/>
                      <w:szCs w:val="18"/>
                    </w:rPr>
                    <w:t>/</w:t>
                  </w:r>
                </w:p>
              </w:tc>
              <w:tc>
                <w:tcPr>
                  <w:tcW w:w="1103" w:type="dxa"/>
                  <w:noWrap w:val="0"/>
                  <w:tcMar>
                    <w:top w:w="0" w:type="dxa"/>
                    <w:left w:w="0" w:type="dxa"/>
                    <w:bottom w:w="0" w:type="dxa"/>
                    <w:right w:w="0" w:type="dxa"/>
                  </w:tcMar>
                  <w:vAlign w:val="center"/>
                </w:tcPr>
                <w:p>
                  <w:pPr>
                    <w:jc w:val="center"/>
                    <w:rPr>
                      <w:sz w:val="18"/>
                      <w:szCs w:val="18"/>
                    </w:rPr>
                  </w:pPr>
                  <w:r>
                    <w:rPr>
                      <w:sz w:val="18"/>
                      <w:szCs w:val="18"/>
                    </w:rPr>
                    <w:t>/</w:t>
                  </w:r>
                </w:p>
              </w:tc>
              <w:tc>
                <w:tcPr>
                  <w:tcW w:w="715" w:type="dxa"/>
                  <w:noWrap w:val="0"/>
                  <w:tcMar>
                    <w:top w:w="0" w:type="dxa"/>
                    <w:left w:w="0" w:type="dxa"/>
                    <w:bottom w:w="0" w:type="dxa"/>
                    <w:right w:w="0" w:type="dxa"/>
                  </w:tcMar>
                  <w:vAlign w:val="center"/>
                </w:tcPr>
                <w:p>
                  <w:pPr>
                    <w:pStyle w:val="32"/>
                    <w:jc w:val="center"/>
                    <w:rPr>
                      <w:rFonts w:hint="default" w:eastAsia="宋体"/>
                      <w:sz w:val="18"/>
                      <w:szCs w:val="18"/>
                      <w:lang w:val="en-US" w:eastAsia="zh-CN"/>
                    </w:rPr>
                  </w:pPr>
                  <w:r>
                    <w:rPr>
                      <w:rFonts w:hint="eastAsia"/>
                      <w:sz w:val="18"/>
                      <w:szCs w:val="18"/>
                      <w:lang w:val="en-US" w:eastAsia="zh-CN"/>
                    </w:rPr>
                    <w:t>2.4</w:t>
                  </w:r>
                </w:p>
              </w:tc>
            </w:tr>
          </w:tbl>
          <w:p>
            <w:pPr>
              <w:tabs>
                <w:tab w:val="left" w:pos="793"/>
              </w:tabs>
              <w:spacing w:line="480" w:lineRule="exact"/>
              <w:jc w:val="center"/>
              <w:rPr>
                <w:b/>
                <w:bCs/>
                <w:sz w:val="18"/>
                <w:szCs w:val="18"/>
              </w:rPr>
            </w:pPr>
            <w:r>
              <w:rPr>
                <w:b/>
                <w:bCs/>
                <w:sz w:val="18"/>
                <w:szCs w:val="18"/>
              </w:rPr>
              <w:t>表4-25  本项目危险废物汇总表</w:t>
            </w:r>
          </w:p>
          <w:tbl>
            <w:tblPr>
              <w:tblStyle w:val="21"/>
              <w:tblW w:w="7934"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780"/>
              <w:gridCol w:w="670"/>
              <w:gridCol w:w="910"/>
              <w:gridCol w:w="740"/>
              <w:gridCol w:w="769"/>
              <w:gridCol w:w="542"/>
              <w:gridCol w:w="918"/>
              <w:gridCol w:w="678"/>
              <w:gridCol w:w="570"/>
              <w:gridCol w:w="849"/>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08" w:type="dxa"/>
                  <w:noWrap w:val="0"/>
                  <w:tcMar>
                    <w:top w:w="0" w:type="dxa"/>
                    <w:left w:w="0" w:type="dxa"/>
                    <w:bottom w:w="0" w:type="dxa"/>
                    <w:right w:w="0" w:type="dxa"/>
                  </w:tcMar>
                  <w:vAlign w:val="center"/>
                </w:tcPr>
                <w:p>
                  <w:pPr>
                    <w:jc w:val="center"/>
                    <w:rPr>
                      <w:b/>
                      <w:bCs/>
                      <w:sz w:val="18"/>
                      <w:szCs w:val="18"/>
                    </w:rPr>
                  </w:pPr>
                  <w:r>
                    <w:rPr>
                      <w:b/>
                      <w:bCs/>
                      <w:sz w:val="18"/>
                      <w:szCs w:val="18"/>
                    </w:rPr>
                    <w:t>序号</w:t>
                  </w:r>
                </w:p>
              </w:tc>
              <w:tc>
                <w:tcPr>
                  <w:tcW w:w="780" w:type="dxa"/>
                  <w:noWrap w:val="0"/>
                  <w:tcMar>
                    <w:top w:w="0" w:type="dxa"/>
                    <w:left w:w="0" w:type="dxa"/>
                    <w:bottom w:w="0" w:type="dxa"/>
                    <w:right w:w="0" w:type="dxa"/>
                  </w:tcMar>
                  <w:vAlign w:val="center"/>
                </w:tcPr>
                <w:p>
                  <w:pPr>
                    <w:jc w:val="center"/>
                    <w:rPr>
                      <w:b/>
                      <w:bCs/>
                      <w:sz w:val="18"/>
                      <w:szCs w:val="18"/>
                    </w:rPr>
                  </w:pPr>
                  <w:r>
                    <w:rPr>
                      <w:b/>
                      <w:bCs/>
                      <w:sz w:val="18"/>
                      <w:szCs w:val="18"/>
                    </w:rPr>
                    <w:t>危险固废名称</w:t>
                  </w:r>
                </w:p>
              </w:tc>
              <w:tc>
                <w:tcPr>
                  <w:tcW w:w="670" w:type="dxa"/>
                  <w:noWrap w:val="0"/>
                  <w:tcMar>
                    <w:top w:w="0" w:type="dxa"/>
                    <w:left w:w="0" w:type="dxa"/>
                    <w:bottom w:w="0" w:type="dxa"/>
                    <w:right w:w="0" w:type="dxa"/>
                  </w:tcMar>
                  <w:vAlign w:val="center"/>
                </w:tcPr>
                <w:p>
                  <w:pPr>
                    <w:jc w:val="center"/>
                    <w:rPr>
                      <w:b/>
                      <w:bCs/>
                      <w:sz w:val="18"/>
                      <w:szCs w:val="18"/>
                    </w:rPr>
                  </w:pPr>
                  <w:r>
                    <w:rPr>
                      <w:b/>
                      <w:bCs/>
                      <w:sz w:val="18"/>
                      <w:szCs w:val="18"/>
                    </w:rPr>
                    <w:t>危险废物类别</w:t>
                  </w:r>
                </w:p>
              </w:tc>
              <w:tc>
                <w:tcPr>
                  <w:tcW w:w="910" w:type="dxa"/>
                  <w:noWrap w:val="0"/>
                  <w:tcMar>
                    <w:top w:w="0" w:type="dxa"/>
                    <w:left w:w="0" w:type="dxa"/>
                    <w:bottom w:w="0" w:type="dxa"/>
                    <w:right w:w="0" w:type="dxa"/>
                  </w:tcMar>
                  <w:vAlign w:val="center"/>
                </w:tcPr>
                <w:p>
                  <w:pPr>
                    <w:jc w:val="center"/>
                    <w:rPr>
                      <w:b/>
                      <w:bCs/>
                      <w:sz w:val="18"/>
                      <w:szCs w:val="18"/>
                    </w:rPr>
                  </w:pPr>
                  <w:r>
                    <w:rPr>
                      <w:b/>
                      <w:bCs/>
                      <w:sz w:val="18"/>
                      <w:szCs w:val="18"/>
                    </w:rPr>
                    <w:t>危险废物代码</w:t>
                  </w:r>
                </w:p>
              </w:tc>
              <w:tc>
                <w:tcPr>
                  <w:tcW w:w="740" w:type="dxa"/>
                  <w:noWrap w:val="0"/>
                  <w:tcMar>
                    <w:top w:w="0" w:type="dxa"/>
                    <w:left w:w="0" w:type="dxa"/>
                    <w:bottom w:w="0" w:type="dxa"/>
                    <w:right w:w="0" w:type="dxa"/>
                  </w:tcMar>
                  <w:vAlign w:val="center"/>
                </w:tcPr>
                <w:p>
                  <w:pPr>
                    <w:jc w:val="center"/>
                    <w:rPr>
                      <w:b/>
                      <w:bCs/>
                      <w:sz w:val="18"/>
                      <w:szCs w:val="18"/>
                    </w:rPr>
                  </w:pPr>
                  <w:r>
                    <w:rPr>
                      <w:b/>
                      <w:bCs/>
                      <w:sz w:val="18"/>
                      <w:szCs w:val="18"/>
                    </w:rPr>
                    <w:t>估算产生量t/a</w:t>
                  </w:r>
                </w:p>
              </w:tc>
              <w:tc>
                <w:tcPr>
                  <w:tcW w:w="769" w:type="dxa"/>
                  <w:noWrap w:val="0"/>
                  <w:tcMar>
                    <w:top w:w="0" w:type="dxa"/>
                    <w:left w:w="0" w:type="dxa"/>
                    <w:bottom w:w="0" w:type="dxa"/>
                    <w:right w:w="0" w:type="dxa"/>
                  </w:tcMar>
                  <w:vAlign w:val="center"/>
                </w:tcPr>
                <w:p>
                  <w:pPr>
                    <w:jc w:val="center"/>
                    <w:rPr>
                      <w:b/>
                      <w:bCs/>
                      <w:sz w:val="18"/>
                      <w:szCs w:val="18"/>
                    </w:rPr>
                  </w:pPr>
                  <w:r>
                    <w:rPr>
                      <w:b/>
                      <w:bCs/>
                      <w:sz w:val="18"/>
                      <w:szCs w:val="18"/>
                    </w:rPr>
                    <w:t>产生工序</w:t>
                  </w:r>
                </w:p>
              </w:tc>
              <w:tc>
                <w:tcPr>
                  <w:tcW w:w="542" w:type="dxa"/>
                  <w:noWrap w:val="0"/>
                  <w:tcMar>
                    <w:top w:w="0" w:type="dxa"/>
                    <w:left w:w="0" w:type="dxa"/>
                    <w:bottom w:w="0" w:type="dxa"/>
                    <w:right w:w="0" w:type="dxa"/>
                  </w:tcMar>
                  <w:vAlign w:val="center"/>
                </w:tcPr>
                <w:p>
                  <w:pPr>
                    <w:jc w:val="center"/>
                    <w:rPr>
                      <w:b/>
                      <w:bCs/>
                      <w:sz w:val="18"/>
                      <w:szCs w:val="18"/>
                    </w:rPr>
                  </w:pPr>
                  <w:r>
                    <w:rPr>
                      <w:b/>
                      <w:bCs/>
                      <w:sz w:val="18"/>
                      <w:szCs w:val="18"/>
                    </w:rPr>
                    <w:t>形态</w:t>
                  </w:r>
                </w:p>
              </w:tc>
              <w:tc>
                <w:tcPr>
                  <w:tcW w:w="918" w:type="dxa"/>
                  <w:noWrap w:val="0"/>
                  <w:tcMar>
                    <w:top w:w="0" w:type="dxa"/>
                    <w:left w:w="0" w:type="dxa"/>
                    <w:bottom w:w="0" w:type="dxa"/>
                    <w:right w:w="0" w:type="dxa"/>
                  </w:tcMar>
                  <w:vAlign w:val="center"/>
                </w:tcPr>
                <w:p>
                  <w:pPr>
                    <w:jc w:val="center"/>
                    <w:rPr>
                      <w:b/>
                      <w:bCs/>
                      <w:sz w:val="18"/>
                      <w:szCs w:val="18"/>
                    </w:rPr>
                  </w:pPr>
                  <w:r>
                    <w:rPr>
                      <w:b/>
                      <w:bCs/>
                      <w:sz w:val="18"/>
                      <w:szCs w:val="18"/>
                    </w:rPr>
                    <w:t>有害成分</w:t>
                  </w:r>
                </w:p>
              </w:tc>
              <w:tc>
                <w:tcPr>
                  <w:tcW w:w="678" w:type="dxa"/>
                  <w:noWrap w:val="0"/>
                  <w:tcMar>
                    <w:top w:w="0" w:type="dxa"/>
                    <w:left w:w="0" w:type="dxa"/>
                    <w:bottom w:w="0" w:type="dxa"/>
                    <w:right w:w="0" w:type="dxa"/>
                  </w:tcMar>
                  <w:vAlign w:val="center"/>
                </w:tcPr>
                <w:p>
                  <w:pPr>
                    <w:jc w:val="center"/>
                    <w:rPr>
                      <w:b/>
                      <w:bCs/>
                      <w:sz w:val="18"/>
                      <w:szCs w:val="18"/>
                    </w:rPr>
                  </w:pPr>
                  <w:r>
                    <w:rPr>
                      <w:b/>
                      <w:bCs/>
                      <w:sz w:val="18"/>
                      <w:szCs w:val="18"/>
                    </w:rPr>
                    <w:t>产废</w:t>
                  </w:r>
                </w:p>
                <w:p>
                  <w:pPr>
                    <w:jc w:val="center"/>
                    <w:rPr>
                      <w:b/>
                      <w:bCs/>
                      <w:sz w:val="18"/>
                      <w:szCs w:val="18"/>
                    </w:rPr>
                  </w:pPr>
                  <w:r>
                    <w:rPr>
                      <w:b/>
                      <w:bCs/>
                      <w:sz w:val="18"/>
                      <w:szCs w:val="18"/>
                    </w:rPr>
                    <w:t>周期</w:t>
                  </w:r>
                </w:p>
              </w:tc>
              <w:tc>
                <w:tcPr>
                  <w:tcW w:w="570" w:type="dxa"/>
                  <w:noWrap w:val="0"/>
                  <w:tcMar>
                    <w:top w:w="0" w:type="dxa"/>
                    <w:left w:w="0" w:type="dxa"/>
                    <w:bottom w:w="0" w:type="dxa"/>
                    <w:right w:w="0" w:type="dxa"/>
                  </w:tcMar>
                  <w:vAlign w:val="center"/>
                </w:tcPr>
                <w:p>
                  <w:pPr>
                    <w:jc w:val="center"/>
                    <w:rPr>
                      <w:b/>
                      <w:bCs/>
                      <w:sz w:val="18"/>
                      <w:szCs w:val="18"/>
                    </w:rPr>
                  </w:pPr>
                  <w:r>
                    <w:rPr>
                      <w:b/>
                      <w:bCs/>
                      <w:sz w:val="18"/>
                      <w:szCs w:val="18"/>
                    </w:rPr>
                    <w:t>危险特性</w:t>
                  </w:r>
                </w:p>
              </w:tc>
              <w:tc>
                <w:tcPr>
                  <w:tcW w:w="849" w:type="dxa"/>
                  <w:noWrap w:val="0"/>
                  <w:tcMar>
                    <w:top w:w="0" w:type="dxa"/>
                    <w:left w:w="0" w:type="dxa"/>
                    <w:bottom w:w="0" w:type="dxa"/>
                    <w:right w:w="0" w:type="dxa"/>
                  </w:tcMar>
                  <w:vAlign w:val="center"/>
                </w:tcPr>
                <w:p>
                  <w:pPr>
                    <w:jc w:val="center"/>
                    <w:rPr>
                      <w:b/>
                      <w:bCs/>
                      <w:sz w:val="18"/>
                      <w:szCs w:val="18"/>
                    </w:rPr>
                  </w:pPr>
                  <w:r>
                    <w:rPr>
                      <w:b/>
                      <w:bCs/>
                      <w:sz w:val="18"/>
                      <w:szCs w:val="18"/>
                    </w:rPr>
                    <w:t>污染防治措施</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508" w:type="dxa"/>
                  <w:noWrap w:val="0"/>
                  <w:tcMar>
                    <w:top w:w="0" w:type="dxa"/>
                    <w:left w:w="0" w:type="dxa"/>
                    <w:bottom w:w="0" w:type="dxa"/>
                    <w:right w:w="0" w:type="dxa"/>
                  </w:tcMar>
                  <w:vAlign w:val="center"/>
                </w:tcPr>
                <w:p>
                  <w:pPr>
                    <w:pStyle w:val="32"/>
                    <w:jc w:val="center"/>
                    <w:rPr>
                      <w:sz w:val="18"/>
                      <w:szCs w:val="18"/>
                    </w:rPr>
                  </w:pPr>
                  <w:r>
                    <w:rPr>
                      <w:sz w:val="18"/>
                      <w:szCs w:val="18"/>
                    </w:rPr>
                    <w:t>1</w:t>
                  </w:r>
                </w:p>
              </w:tc>
              <w:tc>
                <w:tcPr>
                  <w:tcW w:w="780" w:type="dxa"/>
                  <w:noWrap w:val="0"/>
                  <w:tcMar>
                    <w:top w:w="0" w:type="dxa"/>
                    <w:left w:w="0" w:type="dxa"/>
                    <w:bottom w:w="0" w:type="dxa"/>
                    <w:right w:w="0" w:type="dxa"/>
                  </w:tcMar>
                  <w:vAlign w:val="center"/>
                </w:tcPr>
                <w:p>
                  <w:pPr>
                    <w:pStyle w:val="32"/>
                    <w:jc w:val="center"/>
                    <w:rPr>
                      <w:rFonts w:hint="eastAsia" w:eastAsia="宋体"/>
                      <w:sz w:val="18"/>
                      <w:szCs w:val="18"/>
                      <w:lang w:eastAsia="zh-CN"/>
                    </w:rPr>
                  </w:pPr>
                  <w:r>
                    <w:rPr>
                      <w:sz w:val="18"/>
                      <w:szCs w:val="18"/>
                    </w:rPr>
                    <w:t>废活性炭</w:t>
                  </w:r>
                </w:p>
              </w:tc>
              <w:tc>
                <w:tcPr>
                  <w:tcW w:w="670" w:type="dxa"/>
                  <w:noWrap w:val="0"/>
                  <w:tcMar>
                    <w:top w:w="0" w:type="dxa"/>
                    <w:left w:w="0" w:type="dxa"/>
                    <w:bottom w:w="0" w:type="dxa"/>
                    <w:right w:w="0" w:type="dxa"/>
                  </w:tcMar>
                  <w:vAlign w:val="center"/>
                </w:tcPr>
                <w:p>
                  <w:pPr>
                    <w:jc w:val="center"/>
                    <w:rPr>
                      <w:kern w:val="0"/>
                      <w:sz w:val="18"/>
                      <w:szCs w:val="18"/>
                    </w:rPr>
                  </w:pPr>
                  <w:r>
                    <w:rPr>
                      <w:sz w:val="18"/>
                      <w:szCs w:val="18"/>
                    </w:rPr>
                    <w:t>HW49</w:t>
                  </w:r>
                </w:p>
              </w:tc>
              <w:tc>
                <w:tcPr>
                  <w:tcW w:w="910" w:type="dxa"/>
                  <w:noWrap w:val="0"/>
                  <w:tcMar>
                    <w:top w:w="0" w:type="dxa"/>
                    <w:left w:w="0" w:type="dxa"/>
                    <w:bottom w:w="0" w:type="dxa"/>
                    <w:right w:w="0" w:type="dxa"/>
                  </w:tcMar>
                  <w:vAlign w:val="center"/>
                </w:tcPr>
                <w:p>
                  <w:pPr>
                    <w:pStyle w:val="15"/>
                    <w:spacing w:after="0"/>
                    <w:ind w:left="0" w:leftChars="0" w:firstLine="0" w:firstLineChars="0"/>
                    <w:jc w:val="both"/>
                    <w:rPr>
                      <w:sz w:val="18"/>
                      <w:szCs w:val="18"/>
                    </w:rPr>
                  </w:pPr>
                  <w:r>
                    <w:rPr>
                      <w:sz w:val="18"/>
                      <w:szCs w:val="18"/>
                    </w:rPr>
                    <w:t>900-039-49</w:t>
                  </w:r>
                </w:p>
              </w:tc>
              <w:tc>
                <w:tcPr>
                  <w:tcW w:w="740" w:type="dxa"/>
                  <w:noWrap w:val="0"/>
                  <w:tcMar>
                    <w:top w:w="0" w:type="dxa"/>
                    <w:left w:w="0" w:type="dxa"/>
                    <w:bottom w:w="0" w:type="dxa"/>
                    <w:right w:w="0" w:type="dxa"/>
                  </w:tcMar>
                  <w:vAlign w:val="center"/>
                </w:tcPr>
                <w:p>
                  <w:pPr>
                    <w:pStyle w:val="32"/>
                    <w:jc w:val="center"/>
                    <w:rPr>
                      <w:sz w:val="18"/>
                      <w:szCs w:val="18"/>
                    </w:rPr>
                  </w:pPr>
                  <w:r>
                    <w:rPr>
                      <w:rFonts w:hint="eastAsia"/>
                      <w:sz w:val="18"/>
                      <w:szCs w:val="18"/>
                      <w:lang w:val="en-US" w:eastAsia="zh-CN"/>
                    </w:rPr>
                    <w:t>1.114</w:t>
                  </w:r>
                </w:p>
              </w:tc>
              <w:tc>
                <w:tcPr>
                  <w:tcW w:w="769" w:type="dxa"/>
                  <w:noWrap w:val="0"/>
                  <w:tcMar>
                    <w:top w:w="0" w:type="dxa"/>
                    <w:left w:w="0" w:type="dxa"/>
                    <w:bottom w:w="0" w:type="dxa"/>
                    <w:right w:w="0" w:type="dxa"/>
                  </w:tcMar>
                  <w:vAlign w:val="center"/>
                </w:tcPr>
                <w:p>
                  <w:pPr>
                    <w:pStyle w:val="32"/>
                    <w:jc w:val="center"/>
                    <w:rPr>
                      <w:sz w:val="18"/>
                      <w:szCs w:val="18"/>
                    </w:rPr>
                  </w:pPr>
                  <w:r>
                    <w:rPr>
                      <w:sz w:val="18"/>
                      <w:szCs w:val="18"/>
                    </w:rPr>
                    <w:t>废气处理</w:t>
                  </w:r>
                </w:p>
              </w:tc>
              <w:tc>
                <w:tcPr>
                  <w:tcW w:w="542" w:type="dxa"/>
                  <w:noWrap w:val="0"/>
                  <w:tcMar>
                    <w:top w:w="0" w:type="dxa"/>
                    <w:left w:w="0" w:type="dxa"/>
                    <w:bottom w:w="0" w:type="dxa"/>
                    <w:right w:w="0" w:type="dxa"/>
                  </w:tcMar>
                  <w:vAlign w:val="center"/>
                </w:tcPr>
                <w:p>
                  <w:pPr>
                    <w:pStyle w:val="32"/>
                    <w:jc w:val="center"/>
                    <w:rPr>
                      <w:sz w:val="18"/>
                      <w:szCs w:val="18"/>
                    </w:rPr>
                  </w:pPr>
                  <w:r>
                    <w:rPr>
                      <w:sz w:val="18"/>
                      <w:szCs w:val="18"/>
                    </w:rPr>
                    <w:t>固态</w:t>
                  </w:r>
                </w:p>
              </w:tc>
              <w:tc>
                <w:tcPr>
                  <w:tcW w:w="918" w:type="dxa"/>
                  <w:noWrap w:val="0"/>
                  <w:tcMar>
                    <w:top w:w="0" w:type="dxa"/>
                    <w:left w:w="0" w:type="dxa"/>
                    <w:bottom w:w="0" w:type="dxa"/>
                    <w:right w:w="0" w:type="dxa"/>
                  </w:tcMar>
                  <w:vAlign w:val="center"/>
                </w:tcPr>
                <w:p>
                  <w:pPr>
                    <w:pStyle w:val="32"/>
                    <w:jc w:val="center"/>
                    <w:rPr>
                      <w:sz w:val="18"/>
                      <w:szCs w:val="18"/>
                    </w:rPr>
                  </w:pPr>
                  <w:r>
                    <w:rPr>
                      <w:sz w:val="18"/>
                      <w:szCs w:val="18"/>
                    </w:rPr>
                    <w:t>含有机物的活性炭</w:t>
                  </w:r>
                </w:p>
              </w:tc>
              <w:tc>
                <w:tcPr>
                  <w:tcW w:w="678" w:type="dxa"/>
                  <w:noWrap w:val="0"/>
                  <w:tcMar>
                    <w:top w:w="0" w:type="dxa"/>
                    <w:left w:w="0" w:type="dxa"/>
                    <w:bottom w:w="0" w:type="dxa"/>
                    <w:right w:w="0" w:type="dxa"/>
                  </w:tcMar>
                  <w:vAlign w:val="center"/>
                </w:tcPr>
                <w:p>
                  <w:pPr>
                    <w:jc w:val="center"/>
                    <w:rPr>
                      <w:sz w:val="18"/>
                      <w:szCs w:val="18"/>
                    </w:rPr>
                  </w:pPr>
                  <w:r>
                    <w:rPr>
                      <w:sz w:val="18"/>
                      <w:szCs w:val="18"/>
                    </w:rPr>
                    <w:t>每月</w:t>
                  </w:r>
                </w:p>
              </w:tc>
              <w:tc>
                <w:tcPr>
                  <w:tcW w:w="570" w:type="dxa"/>
                  <w:noWrap w:val="0"/>
                  <w:tcMar>
                    <w:top w:w="0" w:type="dxa"/>
                    <w:left w:w="0" w:type="dxa"/>
                    <w:bottom w:w="0" w:type="dxa"/>
                    <w:right w:w="0" w:type="dxa"/>
                  </w:tcMar>
                  <w:vAlign w:val="center"/>
                </w:tcPr>
                <w:p>
                  <w:pPr>
                    <w:jc w:val="center"/>
                    <w:rPr>
                      <w:sz w:val="18"/>
                      <w:szCs w:val="18"/>
                    </w:rPr>
                  </w:pPr>
                  <w:r>
                    <w:rPr>
                      <w:sz w:val="18"/>
                      <w:szCs w:val="18"/>
                    </w:rPr>
                    <w:t>T</w:t>
                  </w:r>
                </w:p>
              </w:tc>
              <w:tc>
                <w:tcPr>
                  <w:tcW w:w="849" w:type="dxa"/>
                  <w:noWrap w:val="0"/>
                  <w:tcMar>
                    <w:top w:w="0" w:type="dxa"/>
                    <w:left w:w="0" w:type="dxa"/>
                    <w:bottom w:w="0" w:type="dxa"/>
                    <w:right w:w="0" w:type="dxa"/>
                  </w:tcMar>
                  <w:vAlign w:val="center"/>
                </w:tcPr>
                <w:p>
                  <w:pPr>
                    <w:jc w:val="center"/>
                    <w:rPr>
                      <w:sz w:val="18"/>
                      <w:szCs w:val="18"/>
                    </w:rPr>
                  </w:pPr>
                  <w:r>
                    <w:rPr>
                      <w:sz w:val="18"/>
                      <w:szCs w:val="18"/>
                    </w:rPr>
                    <w:t>暂存于危废仓库中，定期委托有资质单位处置</w:t>
                  </w:r>
                </w:p>
              </w:tc>
            </w:tr>
          </w:tbl>
          <w:p>
            <w:pPr>
              <w:spacing w:line="480" w:lineRule="exact"/>
              <w:ind w:firstLine="422" w:firstLineChars="200"/>
              <w:rPr>
                <w:b/>
                <w:bCs/>
              </w:rPr>
            </w:pPr>
            <w:r>
              <w:rPr>
                <w:b/>
                <w:bCs/>
              </w:rPr>
              <w:t>4、固废防治措施</w:t>
            </w:r>
          </w:p>
          <w:p>
            <w:pPr>
              <w:spacing w:line="480" w:lineRule="exact"/>
              <w:ind w:firstLine="420" w:firstLineChars="200"/>
              <w:rPr>
                <w:bCs/>
                <w:szCs w:val="21"/>
              </w:rPr>
            </w:pPr>
            <w:r>
              <w:rPr>
                <w:bCs/>
                <w:szCs w:val="21"/>
              </w:rPr>
              <w:t>（1）固废贮运要求</w:t>
            </w:r>
          </w:p>
          <w:p>
            <w:pPr>
              <w:spacing w:line="480" w:lineRule="exact"/>
              <w:ind w:firstLine="420" w:firstLineChars="200"/>
              <w:rPr>
                <w:bCs/>
                <w:szCs w:val="21"/>
              </w:rPr>
            </w:pPr>
            <w:r>
              <w:rPr>
                <w:rFonts w:hint="eastAsia" w:ascii="宋体" w:hAnsi="宋体" w:cs="宋体"/>
                <w:bCs/>
                <w:szCs w:val="21"/>
              </w:rPr>
              <w:t>①</w:t>
            </w:r>
            <w:r>
              <w:rPr>
                <w:bCs/>
                <w:szCs w:val="21"/>
              </w:rPr>
              <w:t>一般工业固废贮运要求</w:t>
            </w:r>
          </w:p>
          <w:p>
            <w:pPr>
              <w:spacing w:line="480" w:lineRule="exact"/>
              <w:ind w:firstLine="420" w:firstLineChars="200"/>
              <w:rPr>
                <w:bCs/>
                <w:szCs w:val="21"/>
              </w:rPr>
            </w:pPr>
            <w:r>
              <w:rPr>
                <w:bCs/>
                <w:szCs w:val="21"/>
              </w:rPr>
              <w:t>根据</w:t>
            </w:r>
            <w:r>
              <w:t>《中华人民共和国固体废物污染环境防治法》（中华人民共和国主席令第43号，2020年9月1日起施行）、《江苏省固体废物污染环境防治条例》（2018修订）要求</w:t>
            </w:r>
            <w:r>
              <w:rPr>
                <w:bCs/>
                <w:szCs w:val="21"/>
              </w:rPr>
              <w:t>，一般工业固体废物贮存、处置场运行管理要求如下：</w:t>
            </w:r>
          </w:p>
          <w:p>
            <w:pPr>
              <w:spacing w:line="480" w:lineRule="exact"/>
              <w:ind w:firstLine="420" w:firstLineChars="200"/>
              <w:rPr>
                <w:bCs/>
                <w:szCs w:val="21"/>
              </w:rPr>
            </w:pPr>
            <w:r>
              <w:rPr>
                <w:bCs/>
                <w:szCs w:val="21"/>
              </w:rPr>
              <w:t>1）一般工业固体废物贮存、处置场，禁止危险废物和生活垃圾混入。</w:t>
            </w:r>
          </w:p>
          <w:p>
            <w:pPr>
              <w:spacing w:line="480" w:lineRule="exact"/>
              <w:ind w:firstLine="420" w:firstLineChars="200"/>
              <w:rPr>
                <w:bCs/>
                <w:szCs w:val="21"/>
              </w:rPr>
            </w:pPr>
            <w:r>
              <w:rPr>
                <w:bCs/>
                <w:szCs w:val="21"/>
              </w:rPr>
              <w:t>2）贮存、处置场使用单位，应建立检查维护制度。定期检查维护堤、坝、挡土墙、导流渠等设施，发现有损坏可能或异常，应及时采取必要措施，以保障正常运行。</w:t>
            </w:r>
          </w:p>
          <w:p>
            <w:pPr>
              <w:spacing w:line="480" w:lineRule="exact"/>
              <w:ind w:firstLine="420" w:firstLineChars="200"/>
              <w:rPr>
                <w:bCs/>
                <w:szCs w:val="21"/>
              </w:rPr>
            </w:pPr>
            <w:r>
              <w:rPr>
                <w:rFonts w:hint="eastAsia" w:ascii="宋体" w:hAnsi="宋体" w:cs="宋体"/>
                <w:bCs/>
                <w:szCs w:val="21"/>
              </w:rPr>
              <w:t>②</w:t>
            </w:r>
            <w:r>
              <w:rPr>
                <w:bCs/>
                <w:szCs w:val="21"/>
              </w:rPr>
              <w:t>危险废物贮运要求</w:t>
            </w:r>
          </w:p>
          <w:p>
            <w:pPr>
              <w:spacing w:line="480" w:lineRule="exact"/>
              <w:ind w:firstLine="420" w:firstLineChars="200"/>
              <w:rPr>
                <w:bCs/>
                <w:szCs w:val="21"/>
              </w:rPr>
            </w:pPr>
            <w:r>
              <w:rPr>
                <w:bCs/>
                <w:szCs w:val="21"/>
              </w:rPr>
              <w:t>1）危险废物贮存及贮存场所防护措施</w:t>
            </w:r>
          </w:p>
          <w:p>
            <w:pPr>
              <w:spacing w:line="480" w:lineRule="exact"/>
              <w:ind w:firstLine="420" w:firstLineChars="200"/>
              <w:rPr>
                <w:bCs/>
                <w:szCs w:val="21"/>
              </w:rPr>
            </w:pPr>
            <w:r>
              <w:rPr>
                <w:bCs/>
                <w:szCs w:val="21"/>
              </w:rPr>
              <w:t>据《危险废物贮存污染控制标准》（GB18597-2023），对危险废物的贮存要求如下：</w:t>
            </w:r>
          </w:p>
          <w:p>
            <w:pPr>
              <w:spacing w:line="480" w:lineRule="exact"/>
              <w:ind w:firstLine="420" w:firstLineChars="200"/>
              <w:rPr>
                <w:bCs/>
                <w:szCs w:val="21"/>
              </w:rPr>
            </w:pPr>
            <w:r>
              <w:rPr>
                <w:bCs/>
                <w:szCs w:val="21"/>
              </w:rPr>
              <w:t>a贮存设施应根据危险废物的形态、物理化学性质、包装形式和污染物迁移途径，采取必要的防风、防晒、防雨、防漏、防渗、防腐以及其他环境污染防治措施，不应露天堆放危险废物；</w:t>
            </w:r>
          </w:p>
          <w:p>
            <w:pPr>
              <w:spacing w:line="480" w:lineRule="exact"/>
              <w:ind w:firstLine="420" w:firstLineChars="200"/>
              <w:rPr>
                <w:bCs/>
                <w:szCs w:val="21"/>
              </w:rPr>
            </w:pPr>
            <w:r>
              <w:rPr>
                <w:bCs/>
                <w:szCs w:val="21"/>
              </w:rPr>
              <w:t>b贮存设施应根据危险废物的类别、数量、形态、物理化学性质和污染防治等要求设置必要的贮存分区，避免不相容的危险废物接触、混合；</w:t>
            </w:r>
          </w:p>
          <w:p>
            <w:pPr>
              <w:spacing w:line="480" w:lineRule="exact"/>
              <w:ind w:firstLine="420" w:firstLineChars="200"/>
              <w:rPr>
                <w:bCs/>
                <w:szCs w:val="21"/>
              </w:rPr>
            </w:pPr>
            <w:r>
              <w:rPr>
                <w:bCs/>
                <w:szCs w:val="21"/>
              </w:rPr>
              <w:t>c贮存设施或贮存分区内地面、墙面裙脚、堵截泄漏的围堰、接触危险废物的隔板和墙体等应采用坚固的材料建造，表面无裂缝；</w:t>
            </w:r>
          </w:p>
          <w:p>
            <w:pPr>
              <w:spacing w:line="480" w:lineRule="exact"/>
              <w:ind w:firstLine="420" w:firstLineChars="200"/>
              <w:rPr>
                <w:bCs/>
                <w:szCs w:val="21"/>
              </w:rPr>
            </w:pPr>
            <w:r>
              <w:rPr>
                <w:bCs/>
                <w:szCs w:val="21"/>
              </w:rPr>
              <w:t>d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 m厚黏土层（渗透系数不大于10</w:t>
            </w:r>
            <w:r>
              <w:rPr>
                <w:bCs/>
                <w:szCs w:val="21"/>
                <w:vertAlign w:val="superscript"/>
              </w:rPr>
              <w:t>-7</w:t>
            </w:r>
            <w:r>
              <w:rPr>
                <w:bCs/>
                <w:szCs w:val="21"/>
              </w:rPr>
              <w:t>cm/s），或至少2 mm厚高密度聚乙烯膜等人工防渗材料（渗透系数不大于10</w:t>
            </w:r>
            <w:r>
              <w:rPr>
                <w:bCs/>
                <w:szCs w:val="21"/>
                <w:vertAlign w:val="superscript"/>
              </w:rPr>
              <w:t>-10</w:t>
            </w:r>
            <w:r>
              <w:rPr>
                <w:bCs/>
                <w:szCs w:val="21"/>
              </w:rPr>
              <w:t>cm/s），或其他防渗性能等效的材料；</w:t>
            </w:r>
          </w:p>
          <w:p>
            <w:pPr>
              <w:spacing w:line="480" w:lineRule="exact"/>
              <w:ind w:firstLine="420" w:firstLineChars="200"/>
              <w:rPr>
                <w:bCs/>
                <w:szCs w:val="21"/>
              </w:rPr>
            </w:pPr>
            <w:r>
              <w:rPr>
                <w:bCs/>
                <w:szCs w:val="21"/>
              </w:rPr>
              <w:t>e同一贮存设施宜采用相同的防渗、防腐工艺（包括防渗、防腐结构或材料），防渗、防腐材料应覆盖所有可能与废物及其渗滤液、渗漏液等接触的构筑物表面；采用不同防渗、防腐工艺应分别建设贮存分区；</w:t>
            </w:r>
          </w:p>
          <w:p>
            <w:pPr>
              <w:spacing w:line="480" w:lineRule="exact"/>
              <w:ind w:firstLine="420" w:firstLineChars="200"/>
              <w:rPr>
                <w:bCs/>
                <w:szCs w:val="21"/>
              </w:rPr>
            </w:pPr>
            <w:r>
              <w:rPr>
                <w:bCs/>
                <w:szCs w:val="21"/>
              </w:rPr>
              <w:t>f贮存设施应采取技术和管理措施防止无关人员进入；</w:t>
            </w:r>
          </w:p>
          <w:p>
            <w:pPr>
              <w:spacing w:line="480" w:lineRule="exact"/>
              <w:ind w:firstLine="420" w:firstLineChars="200"/>
              <w:rPr>
                <w:bCs/>
                <w:szCs w:val="21"/>
              </w:rPr>
            </w:pPr>
            <w:r>
              <w:rPr>
                <w:bCs/>
                <w:szCs w:val="21"/>
              </w:rPr>
              <w:t>g贮存库内不同贮存分区之间应采取隔离措施。隔离措施可根据危险废物特性采用过道、隔板或隔墙等方式；</w:t>
            </w:r>
          </w:p>
          <w:p>
            <w:pPr>
              <w:spacing w:line="480" w:lineRule="exact"/>
              <w:ind w:firstLine="420" w:firstLineChars="200"/>
              <w:rPr>
                <w:bCs/>
                <w:szCs w:val="21"/>
              </w:rPr>
            </w:pPr>
            <w:r>
              <w:rPr>
                <w:bCs/>
                <w:szCs w:val="21"/>
              </w:rPr>
              <w:t>h贮存易产生粉尘、VOCs、酸雾、有毒有害大气污染物和刺激性气味气体的危险废物贮存库，应设置气体收集装置和气体净化设施；气体净化设施的排气筒高度应符合 GB 16297要求。</w:t>
            </w:r>
          </w:p>
          <w:p>
            <w:pPr>
              <w:spacing w:line="480" w:lineRule="exact"/>
              <w:ind w:firstLine="420" w:firstLineChars="200"/>
              <w:rPr>
                <w:bCs/>
                <w:szCs w:val="21"/>
              </w:rPr>
            </w:pPr>
            <w:r>
              <w:rPr>
                <w:bCs/>
                <w:szCs w:val="21"/>
              </w:rPr>
              <w:t>i在贮存库内或通过贮存分区方式贮存液态危险废物的，应具有液体泄漏堵截设施，堵截设施最小容积不应低于对应贮存区域最大液态废物容器容积或液态废物总储量 1/10（二者取较大者）；用于贮存可能产生渗滤液的危险废物的贮存库或贮存分区应设计渗滤液收集设施，收集设施容积应满足渗滤液的收集要求。</w:t>
            </w:r>
          </w:p>
          <w:p>
            <w:pPr>
              <w:spacing w:line="480" w:lineRule="exact"/>
              <w:jc w:val="center"/>
              <w:rPr>
                <w:b/>
                <w:bCs/>
                <w:kern w:val="0"/>
                <w:sz w:val="18"/>
                <w:szCs w:val="18"/>
              </w:rPr>
            </w:pPr>
            <w:r>
              <w:rPr>
                <w:b/>
                <w:bCs/>
                <w:kern w:val="0"/>
                <w:sz w:val="18"/>
                <w:szCs w:val="18"/>
              </w:rPr>
              <w:t>表4-26  危险废物贮存场所基本情况表</w:t>
            </w:r>
          </w:p>
          <w:tbl>
            <w:tblPr>
              <w:tblStyle w:val="21"/>
              <w:tblW w:w="7939" w:type="dxa"/>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77"/>
              <w:gridCol w:w="964"/>
              <w:gridCol w:w="825"/>
              <w:gridCol w:w="970"/>
              <w:gridCol w:w="692"/>
              <w:gridCol w:w="849"/>
              <w:gridCol w:w="916"/>
              <w:gridCol w:w="903"/>
              <w:gridCol w:w="943"/>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685" w:hRule="exact"/>
              </w:trPr>
              <w:tc>
                <w:tcPr>
                  <w:tcW w:w="877" w:type="dxa"/>
                  <w:noWrap w:val="0"/>
                  <w:vAlign w:val="center"/>
                </w:tcPr>
                <w:p>
                  <w:pPr>
                    <w:jc w:val="center"/>
                    <w:rPr>
                      <w:b/>
                      <w:bCs/>
                      <w:sz w:val="18"/>
                      <w:szCs w:val="18"/>
                    </w:rPr>
                  </w:pPr>
                  <w:r>
                    <w:rPr>
                      <w:b/>
                      <w:bCs/>
                      <w:sz w:val="18"/>
                      <w:szCs w:val="18"/>
                    </w:rPr>
                    <w:t>贮存场</w:t>
                  </w:r>
                </w:p>
                <w:p>
                  <w:pPr>
                    <w:jc w:val="center"/>
                    <w:rPr>
                      <w:b/>
                      <w:bCs/>
                      <w:sz w:val="18"/>
                      <w:szCs w:val="18"/>
                    </w:rPr>
                  </w:pPr>
                  <w:r>
                    <w:rPr>
                      <w:b/>
                      <w:bCs/>
                      <w:sz w:val="18"/>
                      <w:szCs w:val="18"/>
                    </w:rPr>
                    <w:t>所名称</w:t>
                  </w:r>
                </w:p>
              </w:tc>
              <w:tc>
                <w:tcPr>
                  <w:tcW w:w="964" w:type="dxa"/>
                  <w:noWrap w:val="0"/>
                  <w:vAlign w:val="center"/>
                </w:tcPr>
                <w:p>
                  <w:pPr>
                    <w:jc w:val="center"/>
                    <w:rPr>
                      <w:b/>
                      <w:bCs/>
                      <w:sz w:val="18"/>
                      <w:szCs w:val="18"/>
                    </w:rPr>
                  </w:pPr>
                  <w:r>
                    <w:rPr>
                      <w:b/>
                      <w:bCs/>
                      <w:sz w:val="18"/>
                      <w:szCs w:val="18"/>
                    </w:rPr>
                    <w:t>固废名称</w:t>
                  </w:r>
                </w:p>
              </w:tc>
              <w:tc>
                <w:tcPr>
                  <w:tcW w:w="825" w:type="dxa"/>
                  <w:noWrap w:val="0"/>
                  <w:vAlign w:val="center"/>
                </w:tcPr>
                <w:p>
                  <w:pPr>
                    <w:jc w:val="center"/>
                    <w:rPr>
                      <w:b/>
                      <w:bCs/>
                      <w:sz w:val="18"/>
                      <w:szCs w:val="18"/>
                    </w:rPr>
                  </w:pPr>
                  <w:r>
                    <w:rPr>
                      <w:b/>
                      <w:bCs/>
                      <w:sz w:val="18"/>
                      <w:szCs w:val="18"/>
                    </w:rPr>
                    <w:t>废物类别</w:t>
                  </w:r>
                </w:p>
              </w:tc>
              <w:tc>
                <w:tcPr>
                  <w:tcW w:w="970" w:type="dxa"/>
                  <w:noWrap w:val="0"/>
                  <w:vAlign w:val="center"/>
                </w:tcPr>
                <w:p>
                  <w:pPr>
                    <w:jc w:val="center"/>
                    <w:rPr>
                      <w:b/>
                      <w:bCs/>
                      <w:sz w:val="18"/>
                      <w:szCs w:val="18"/>
                    </w:rPr>
                  </w:pPr>
                  <w:r>
                    <w:rPr>
                      <w:b/>
                      <w:bCs/>
                      <w:sz w:val="18"/>
                      <w:szCs w:val="18"/>
                    </w:rPr>
                    <w:t>废物代码</w:t>
                  </w:r>
                </w:p>
              </w:tc>
              <w:tc>
                <w:tcPr>
                  <w:tcW w:w="692" w:type="dxa"/>
                  <w:noWrap w:val="0"/>
                  <w:vAlign w:val="center"/>
                </w:tcPr>
                <w:p>
                  <w:pPr>
                    <w:jc w:val="center"/>
                    <w:rPr>
                      <w:b/>
                      <w:bCs/>
                      <w:sz w:val="18"/>
                      <w:szCs w:val="18"/>
                    </w:rPr>
                  </w:pPr>
                  <w:r>
                    <w:rPr>
                      <w:b/>
                      <w:bCs/>
                      <w:sz w:val="18"/>
                      <w:szCs w:val="18"/>
                    </w:rPr>
                    <w:t>位置</w:t>
                  </w:r>
                </w:p>
              </w:tc>
              <w:tc>
                <w:tcPr>
                  <w:tcW w:w="849" w:type="dxa"/>
                  <w:noWrap w:val="0"/>
                  <w:vAlign w:val="center"/>
                </w:tcPr>
                <w:p>
                  <w:pPr>
                    <w:jc w:val="center"/>
                    <w:rPr>
                      <w:b/>
                      <w:bCs/>
                      <w:sz w:val="18"/>
                      <w:szCs w:val="18"/>
                    </w:rPr>
                  </w:pPr>
                  <w:r>
                    <w:rPr>
                      <w:b/>
                      <w:bCs/>
                      <w:sz w:val="18"/>
                      <w:szCs w:val="18"/>
                    </w:rPr>
                    <w:t>占地面积</w:t>
                  </w:r>
                </w:p>
                <w:p>
                  <w:pPr>
                    <w:jc w:val="center"/>
                    <w:rPr>
                      <w:b/>
                      <w:bCs/>
                      <w:sz w:val="18"/>
                      <w:szCs w:val="18"/>
                    </w:rPr>
                  </w:pPr>
                  <w:r>
                    <w:rPr>
                      <w:b/>
                      <w:bCs/>
                      <w:sz w:val="18"/>
                      <w:szCs w:val="18"/>
                    </w:rPr>
                    <w:t>（m</w:t>
                  </w:r>
                  <w:r>
                    <w:rPr>
                      <w:b/>
                      <w:bCs/>
                      <w:sz w:val="18"/>
                      <w:szCs w:val="18"/>
                      <w:vertAlign w:val="superscript"/>
                    </w:rPr>
                    <w:t>2</w:t>
                  </w:r>
                  <w:r>
                    <w:rPr>
                      <w:b/>
                      <w:bCs/>
                      <w:sz w:val="18"/>
                      <w:szCs w:val="18"/>
                    </w:rPr>
                    <w:t>）</w:t>
                  </w:r>
                </w:p>
              </w:tc>
              <w:tc>
                <w:tcPr>
                  <w:tcW w:w="916" w:type="dxa"/>
                  <w:noWrap w:val="0"/>
                  <w:vAlign w:val="center"/>
                </w:tcPr>
                <w:p>
                  <w:pPr>
                    <w:jc w:val="center"/>
                    <w:rPr>
                      <w:b/>
                      <w:bCs/>
                      <w:sz w:val="18"/>
                      <w:szCs w:val="18"/>
                    </w:rPr>
                  </w:pPr>
                  <w:r>
                    <w:rPr>
                      <w:b/>
                      <w:bCs/>
                      <w:sz w:val="18"/>
                      <w:szCs w:val="18"/>
                    </w:rPr>
                    <w:t>贮存方式</w:t>
                  </w:r>
                </w:p>
              </w:tc>
              <w:tc>
                <w:tcPr>
                  <w:tcW w:w="903" w:type="dxa"/>
                  <w:noWrap w:val="0"/>
                  <w:vAlign w:val="center"/>
                </w:tcPr>
                <w:p>
                  <w:pPr>
                    <w:jc w:val="center"/>
                    <w:rPr>
                      <w:b/>
                      <w:bCs/>
                      <w:sz w:val="18"/>
                      <w:szCs w:val="18"/>
                    </w:rPr>
                  </w:pPr>
                  <w:r>
                    <w:rPr>
                      <w:b/>
                      <w:bCs/>
                      <w:sz w:val="18"/>
                      <w:szCs w:val="18"/>
                    </w:rPr>
                    <w:t>贮存能力</w:t>
                  </w:r>
                </w:p>
              </w:tc>
              <w:tc>
                <w:tcPr>
                  <w:tcW w:w="943" w:type="dxa"/>
                  <w:noWrap w:val="0"/>
                  <w:vAlign w:val="center"/>
                </w:tcPr>
                <w:p>
                  <w:pPr>
                    <w:jc w:val="center"/>
                    <w:rPr>
                      <w:b/>
                      <w:bCs/>
                      <w:sz w:val="18"/>
                      <w:szCs w:val="18"/>
                    </w:rPr>
                  </w:pPr>
                  <w:r>
                    <w:rPr>
                      <w:b/>
                      <w:bCs/>
                      <w:sz w:val="18"/>
                      <w:szCs w:val="18"/>
                    </w:rPr>
                    <w:t>贮存周期</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877" w:type="dxa"/>
                  <w:noWrap w:val="0"/>
                  <w:vAlign w:val="center"/>
                </w:tcPr>
                <w:p>
                  <w:pPr>
                    <w:jc w:val="center"/>
                    <w:rPr>
                      <w:sz w:val="18"/>
                      <w:szCs w:val="18"/>
                    </w:rPr>
                  </w:pPr>
                  <w:r>
                    <w:rPr>
                      <w:sz w:val="18"/>
                      <w:szCs w:val="18"/>
                    </w:rPr>
                    <w:t>危险废物仓库</w:t>
                  </w:r>
                </w:p>
              </w:tc>
              <w:tc>
                <w:tcPr>
                  <w:tcW w:w="964" w:type="dxa"/>
                  <w:noWrap w:val="0"/>
                  <w:vAlign w:val="center"/>
                </w:tcPr>
                <w:p>
                  <w:pPr>
                    <w:pStyle w:val="32"/>
                    <w:jc w:val="center"/>
                    <w:rPr>
                      <w:rFonts w:hint="eastAsia" w:eastAsia="宋体"/>
                      <w:sz w:val="18"/>
                      <w:szCs w:val="18"/>
                      <w:lang w:eastAsia="zh-CN"/>
                    </w:rPr>
                  </w:pPr>
                  <w:r>
                    <w:rPr>
                      <w:sz w:val="18"/>
                      <w:szCs w:val="18"/>
                    </w:rPr>
                    <w:t>废活性炭</w:t>
                  </w:r>
                </w:p>
              </w:tc>
              <w:tc>
                <w:tcPr>
                  <w:tcW w:w="825" w:type="dxa"/>
                  <w:noWrap w:val="0"/>
                  <w:vAlign w:val="center"/>
                </w:tcPr>
                <w:p>
                  <w:pPr>
                    <w:jc w:val="center"/>
                    <w:rPr>
                      <w:kern w:val="0"/>
                      <w:sz w:val="18"/>
                      <w:szCs w:val="18"/>
                    </w:rPr>
                  </w:pPr>
                  <w:r>
                    <w:rPr>
                      <w:sz w:val="18"/>
                      <w:szCs w:val="18"/>
                    </w:rPr>
                    <w:t>HW49</w:t>
                  </w:r>
                </w:p>
              </w:tc>
              <w:tc>
                <w:tcPr>
                  <w:tcW w:w="970" w:type="dxa"/>
                  <w:noWrap w:val="0"/>
                  <w:vAlign w:val="center"/>
                </w:tcPr>
                <w:p>
                  <w:pPr>
                    <w:pStyle w:val="15"/>
                    <w:spacing w:after="0"/>
                    <w:ind w:left="0" w:leftChars="0" w:firstLine="0" w:firstLineChars="0"/>
                    <w:jc w:val="center"/>
                    <w:rPr>
                      <w:sz w:val="18"/>
                      <w:szCs w:val="18"/>
                    </w:rPr>
                  </w:pPr>
                  <w:r>
                    <w:rPr>
                      <w:sz w:val="18"/>
                      <w:szCs w:val="18"/>
                    </w:rPr>
                    <w:t>900-039-49</w:t>
                  </w:r>
                </w:p>
              </w:tc>
              <w:tc>
                <w:tcPr>
                  <w:tcW w:w="692" w:type="dxa"/>
                  <w:noWrap w:val="0"/>
                  <w:vAlign w:val="center"/>
                </w:tcPr>
                <w:p>
                  <w:pPr>
                    <w:jc w:val="center"/>
                    <w:rPr>
                      <w:sz w:val="18"/>
                      <w:szCs w:val="18"/>
                    </w:rPr>
                  </w:pPr>
                  <w:r>
                    <w:rPr>
                      <w:sz w:val="18"/>
                      <w:szCs w:val="18"/>
                    </w:rPr>
                    <w:t>生产车间</w:t>
                  </w:r>
                  <w:r>
                    <w:rPr>
                      <w:rFonts w:hint="eastAsia"/>
                      <w:sz w:val="18"/>
                      <w:szCs w:val="18"/>
                      <w:lang w:val="en-US" w:eastAsia="zh-CN"/>
                    </w:rPr>
                    <w:t>东</w:t>
                  </w:r>
                  <w:r>
                    <w:rPr>
                      <w:sz w:val="18"/>
                      <w:szCs w:val="18"/>
                    </w:rPr>
                    <w:t>南角</w:t>
                  </w:r>
                </w:p>
              </w:tc>
              <w:tc>
                <w:tcPr>
                  <w:tcW w:w="849" w:type="dxa"/>
                  <w:noWrap w:val="0"/>
                  <w:vAlign w:val="center"/>
                </w:tcPr>
                <w:p>
                  <w:pPr>
                    <w:jc w:val="center"/>
                    <w:rPr>
                      <w:rFonts w:hint="eastAsia" w:eastAsia="宋体"/>
                      <w:sz w:val="18"/>
                      <w:szCs w:val="18"/>
                      <w:lang w:eastAsia="zh-CN"/>
                    </w:rPr>
                  </w:pPr>
                  <w:r>
                    <w:rPr>
                      <w:rFonts w:hint="eastAsia"/>
                      <w:sz w:val="18"/>
                      <w:szCs w:val="18"/>
                      <w:lang w:val="en-US" w:eastAsia="zh-CN"/>
                    </w:rPr>
                    <w:t>5</w:t>
                  </w:r>
                </w:p>
              </w:tc>
              <w:tc>
                <w:tcPr>
                  <w:tcW w:w="916" w:type="dxa"/>
                  <w:noWrap w:val="0"/>
                  <w:vAlign w:val="center"/>
                </w:tcPr>
                <w:p>
                  <w:pPr>
                    <w:jc w:val="center"/>
                    <w:rPr>
                      <w:sz w:val="18"/>
                      <w:szCs w:val="18"/>
                    </w:rPr>
                  </w:pPr>
                  <w:r>
                    <w:rPr>
                      <w:sz w:val="18"/>
                      <w:szCs w:val="18"/>
                    </w:rPr>
                    <w:t>桶装</w:t>
                  </w:r>
                </w:p>
              </w:tc>
              <w:tc>
                <w:tcPr>
                  <w:tcW w:w="903" w:type="dxa"/>
                  <w:noWrap w:val="0"/>
                  <w:vAlign w:val="center"/>
                </w:tcPr>
                <w:p>
                  <w:pPr>
                    <w:jc w:val="center"/>
                    <w:rPr>
                      <w:sz w:val="18"/>
                      <w:szCs w:val="18"/>
                    </w:rPr>
                  </w:pPr>
                  <w:r>
                    <w:rPr>
                      <w:rFonts w:hint="eastAsia"/>
                      <w:sz w:val="18"/>
                      <w:szCs w:val="18"/>
                      <w:lang w:val="en-US" w:eastAsia="zh-CN"/>
                    </w:rPr>
                    <w:t>5</w:t>
                  </w:r>
                  <w:r>
                    <w:rPr>
                      <w:sz w:val="18"/>
                      <w:szCs w:val="18"/>
                    </w:rPr>
                    <w:t>t</w:t>
                  </w:r>
                </w:p>
              </w:tc>
              <w:tc>
                <w:tcPr>
                  <w:tcW w:w="943" w:type="dxa"/>
                  <w:noWrap w:val="0"/>
                  <w:vAlign w:val="center"/>
                </w:tcPr>
                <w:p>
                  <w:pPr>
                    <w:jc w:val="center"/>
                    <w:rPr>
                      <w:sz w:val="18"/>
                      <w:szCs w:val="18"/>
                    </w:rPr>
                  </w:pPr>
                  <w:r>
                    <w:rPr>
                      <w:sz w:val="18"/>
                      <w:szCs w:val="18"/>
                    </w:rPr>
                    <w:t>三个月</w:t>
                  </w:r>
                </w:p>
              </w:tc>
            </w:tr>
          </w:tbl>
          <w:p>
            <w:pPr>
              <w:spacing w:line="500" w:lineRule="exact"/>
              <w:ind w:firstLine="420" w:firstLineChars="200"/>
              <w:rPr>
                <w:bCs/>
                <w:szCs w:val="21"/>
              </w:rPr>
            </w:pPr>
            <w:r>
              <w:rPr>
                <w:bCs/>
                <w:szCs w:val="21"/>
              </w:rPr>
              <w:t>本项目危废仓库中储存的危险废物为废活性炭，其他危险废物产生量及储存量都很小，建筑面积</w:t>
            </w:r>
            <w:r>
              <w:rPr>
                <w:rFonts w:hint="eastAsia"/>
                <w:bCs/>
                <w:szCs w:val="21"/>
                <w:lang w:val="en-US" w:eastAsia="zh-CN"/>
              </w:rPr>
              <w:t>5</w:t>
            </w:r>
            <w:r>
              <w:rPr>
                <w:bCs/>
                <w:szCs w:val="21"/>
              </w:rPr>
              <w:t>m</w:t>
            </w:r>
            <w:r>
              <w:rPr>
                <w:bCs/>
                <w:szCs w:val="21"/>
                <w:vertAlign w:val="superscript"/>
              </w:rPr>
              <w:t>2</w:t>
            </w:r>
            <w:r>
              <w:rPr>
                <w:bCs/>
                <w:szCs w:val="21"/>
              </w:rPr>
              <w:t>的仓库能够满足项目需要。</w:t>
            </w:r>
          </w:p>
          <w:p>
            <w:pPr>
              <w:spacing w:line="500" w:lineRule="exact"/>
              <w:ind w:firstLine="420" w:firstLineChars="200"/>
              <w:rPr>
                <w:bCs/>
                <w:szCs w:val="21"/>
              </w:rPr>
            </w:pPr>
            <w:r>
              <w:rPr>
                <w:bCs/>
                <w:szCs w:val="21"/>
              </w:rPr>
              <w:t>2）危险废物贮存容器要求</w:t>
            </w:r>
          </w:p>
          <w:p>
            <w:pPr>
              <w:spacing w:line="500" w:lineRule="exact"/>
              <w:ind w:firstLine="420" w:firstLineChars="200"/>
              <w:rPr>
                <w:bCs/>
                <w:szCs w:val="21"/>
              </w:rPr>
            </w:pPr>
            <w:r>
              <w:rPr>
                <w:bCs/>
                <w:szCs w:val="21"/>
              </w:rPr>
              <w:t>据《危险废物贮存污染控制标准》（GB18597-2023），危险废物贮存容器要求如下：</w:t>
            </w:r>
          </w:p>
          <w:p>
            <w:pPr>
              <w:spacing w:line="500" w:lineRule="exact"/>
              <w:ind w:firstLine="420" w:firstLineChars="200"/>
              <w:rPr>
                <w:bCs/>
                <w:szCs w:val="21"/>
              </w:rPr>
            </w:pPr>
            <w:r>
              <w:rPr>
                <w:bCs/>
                <w:szCs w:val="21"/>
              </w:rPr>
              <w:t>a容器和包装物材质、内衬应与盛装的危险废物相容；</w:t>
            </w:r>
          </w:p>
          <w:p>
            <w:pPr>
              <w:spacing w:line="500" w:lineRule="exact"/>
              <w:ind w:firstLine="420" w:firstLineChars="200"/>
              <w:rPr>
                <w:bCs/>
                <w:szCs w:val="21"/>
              </w:rPr>
            </w:pPr>
            <w:r>
              <w:rPr>
                <w:bCs/>
                <w:szCs w:val="21"/>
              </w:rPr>
              <w:t>b针对不同类别、形态、物理化学性质的危险废物，其容器和包装物应满足相应的防渗、防漏、防腐和强度等要求；</w:t>
            </w:r>
          </w:p>
          <w:p>
            <w:pPr>
              <w:spacing w:line="500" w:lineRule="exact"/>
              <w:ind w:firstLine="420" w:firstLineChars="200"/>
              <w:rPr>
                <w:bCs/>
                <w:szCs w:val="21"/>
              </w:rPr>
            </w:pPr>
            <w:r>
              <w:rPr>
                <w:bCs/>
                <w:szCs w:val="21"/>
              </w:rPr>
              <w:t>c硬质容器和包装物及其支护结构堆叠码放时不应有明显变形，无破损泄漏；</w:t>
            </w:r>
          </w:p>
          <w:p>
            <w:pPr>
              <w:spacing w:line="500" w:lineRule="exact"/>
              <w:ind w:firstLine="420" w:firstLineChars="200"/>
              <w:rPr>
                <w:bCs/>
                <w:szCs w:val="21"/>
              </w:rPr>
            </w:pPr>
            <w:r>
              <w:rPr>
                <w:bCs/>
                <w:szCs w:val="21"/>
              </w:rPr>
              <w:t>d柔性容器和包装物堆叠码放时应封口严密，无破损泄漏；</w:t>
            </w:r>
          </w:p>
          <w:p>
            <w:pPr>
              <w:spacing w:line="500" w:lineRule="exact"/>
              <w:ind w:firstLine="420" w:firstLineChars="200"/>
              <w:rPr>
                <w:bCs/>
                <w:szCs w:val="21"/>
              </w:rPr>
            </w:pPr>
            <w:r>
              <w:rPr>
                <w:bCs/>
                <w:szCs w:val="21"/>
              </w:rPr>
              <w:t>e使用容器盛装液态、半固态危险废物时，容器内部应留有适当的空间，以适应因温度变化等可能引发的收缩和膨胀，防止其导致容器渗漏或永久变形；</w:t>
            </w:r>
          </w:p>
          <w:p>
            <w:pPr>
              <w:spacing w:line="500" w:lineRule="exact"/>
              <w:ind w:firstLine="420" w:firstLineChars="200"/>
              <w:rPr>
                <w:bCs/>
                <w:szCs w:val="21"/>
              </w:rPr>
            </w:pPr>
            <w:r>
              <w:rPr>
                <w:bCs/>
                <w:szCs w:val="21"/>
              </w:rPr>
              <w:t>f容器和包装物外表面应保持清洁。</w:t>
            </w:r>
          </w:p>
          <w:p>
            <w:pPr>
              <w:spacing w:line="500" w:lineRule="exact"/>
              <w:ind w:firstLine="420" w:firstLineChars="200"/>
              <w:rPr>
                <w:bCs/>
                <w:szCs w:val="21"/>
              </w:rPr>
            </w:pPr>
            <w:r>
              <w:rPr>
                <w:bCs/>
                <w:szCs w:val="21"/>
              </w:rPr>
              <w:t>3）危险废物处置过程要求</w:t>
            </w:r>
          </w:p>
          <w:p>
            <w:pPr>
              <w:spacing w:line="500" w:lineRule="exact"/>
              <w:ind w:firstLine="420" w:firstLineChars="200"/>
              <w:rPr>
                <w:bCs/>
                <w:szCs w:val="21"/>
              </w:rPr>
            </w:pPr>
            <w:r>
              <w:rPr>
                <w:bCs/>
                <w:szCs w:val="21"/>
              </w:rPr>
              <w:t>项目在危险废物的转移时，按有关规定签订危险废物转移单，并需得到有关环境行政主管部门的批准。同时，在危险废物转移前，要设立专门场地严格按要求保存，不得随意堆放，防止对周围环境造成影响。</w:t>
            </w:r>
          </w:p>
          <w:p>
            <w:pPr>
              <w:spacing w:line="500" w:lineRule="exact"/>
              <w:ind w:firstLine="420" w:firstLineChars="200"/>
              <w:rPr>
                <w:bCs/>
                <w:szCs w:val="21"/>
              </w:rPr>
            </w:pPr>
            <w:r>
              <w:rPr>
                <w:bCs/>
                <w:szCs w:val="21"/>
              </w:rPr>
              <w:t>处置单位应严格按照有关处置规定对废物进行处置，不得产生二次污染。</w:t>
            </w:r>
          </w:p>
          <w:p>
            <w:pPr>
              <w:spacing w:line="500" w:lineRule="exact"/>
              <w:ind w:firstLine="420" w:firstLineChars="200"/>
              <w:rPr>
                <w:bCs/>
                <w:szCs w:val="21"/>
              </w:rPr>
            </w:pPr>
            <w:r>
              <w:rPr>
                <w:bCs/>
                <w:szCs w:val="21"/>
              </w:rPr>
              <w:t>本项目危险废物在厂内暂存期间如管理不善，发生流失、渗漏，易造成土壤及水环境污染。因此，固体废物在厂内暂存期间应根据《危险废物贮存污染控制标准》加强管理，堆放场地具备防渗、防流失措施。</w:t>
            </w:r>
          </w:p>
          <w:p>
            <w:pPr>
              <w:spacing w:line="500" w:lineRule="exact"/>
              <w:ind w:firstLine="420" w:firstLineChars="200"/>
              <w:rPr>
                <w:bCs/>
                <w:szCs w:val="21"/>
              </w:rPr>
            </w:pPr>
            <w:r>
              <w:rPr>
                <w:bCs/>
                <w:szCs w:val="21"/>
              </w:rPr>
              <w:t>此外，固体废物在外运过程可能发生抛散、泄漏，造成土壤及水环境污染，对大气环境造成影响，危害沿线居民健康。因此，项目在危险废物转移时，按有关规定签订危险废物转移单，并需得到有关环境行政主管部门的批准，且必须委托专门的危险废物运输单位，需具备一定的应急能力。</w:t>
            </w:r>
          </w:p>
          <w:p>
            <w:pPr>
              <w:spacing w:line="480" w:lineRule="exact"/>
              <w:ind w:firstLine="420" w:firstLineChars="200"/>
              <w:rPr>
                <w:szCs w:val="21"/>
              </w:rPr>
            </w:pPr>
            <w:r>
              <w:rPr>
                <w:bCs/>
                <w:szCs w:val="21"/>
              </w:rPr>
              <w:t>（2）</w:t>
            </w:r>
            <w:r>
              <w:rPr>
                <w:szCs w:val="21"/>
              </w:rPr>
              <w:t>危险废物管理要求</w:t>
            </w:r>
          </w:p>
          <w:p>
            <w:pPr>
              <w:spacing w:line="480" w:lineRule="exact"/>
              <w:ind w:firstLine="420" w:firstLineChars="200"/>
              <w:rPr>
                <w:bCs/>
                <w:szCs w:val="21"/>
              </w:rPr>
            </w:pPr>
            <w:r>
              <w:rPr>
                <w:rFonts w:hint="eastAsia" w:ascii="宋体" w:hAnsi="宋体" w:cs="宋体"/>
                <w:bCs/>
                <w:szCs w:val="21"/>
              </w:rPr>
              <w:t>①</w:t>
            </w:r>
            <w:r>
              <w:rPr>
                <w:bCs/>
                <w:szCs w:val="21"/>
              </w:rPr>
              <w:t>建设单位应通过“江苏省污染源"一企一档"管理系统”（江苏省环保厅网站）进行危险废物申报登记。将危险废物的实际产生、贮存、利用、处置等情况纳入生产记录，建立危险废物管理台账和企业内部产生和收集、贮存、转移等部门危险废物交接制度。</w:t>
            </w:r>
          </w:p>
          <w:p>
            <w:pPr>
              <w:spacing w:line="480" w:lineRule="exact"/>
              <w:ind w:firstLine="420" w:firstLineChars="200"/>
              <w:rPr>
                <w:bCs/>
                <w:szCs w:val="21"/>
              </w:rPr>
            </w:pPr>
            <w:r>
              <w:rPr>
                <w:rFonts w:hint="eastAsia" w:ascii="宋体" w:hAnsi="宋体" w:cs="宋体"/>
                <w:bCs/>
                <w:szCs w:val="21"/>
              </w:rPr>
              <w:t>②</w:t>
            </w:r>
            <w:r>
              <w:rPr>
                <w:bCs/>
                <w:szCs w:val="21"/>
              </w:rPr>
              <w:t>建设方</w:t>
            </w:r>
            <w:r>
              <w:rPr>
                <w:szCs w:val="21"/>
              </w:rPr>
              <w:t>常州市铭源精密传动技术有限公司</w:t>
            </w:r>
            <w:r>
              <w:rPr>
                <w:bCs/>
                <w:szCs w:val="21"/>
              </w:rPr>
              <w:t>为项目固体废物污染防治的责任主体，企业应执行转移联单管理制度及国家和省有关转移管理的相关规定、处置过程安全操作规程、人员培训考核制度、档案管理制度、处置全过程管理制度等。</w:t>
            </w:r>
          </w:p>
          <w:p>
            <w:pPr>
              <w:spacing w:line="480" w:lineRule="exact"/>
              <w:ind w:firstLine="420" w:firstLineChars="200"/>
              <w:rPr>
                <w:bCs/>
                <w:szCs w:val="21"/>
              </w:rPr>
            </w:pPr>
            <w:r>
              <w:rPr>
                <w:rFonts w:hint="eastAsia" w:ascii="宋体" w:hAnsi="宋体" w:cs="宋体"/>
                <w:bCs/>
                <w:szCs w:val="21"/>
              </w:rPr>
              <w:t>③</w:t>
            </w:r>
            <w:r>
              <w:rPr>
                <w:bCs/>
                <w:szCs w:val="21"/>
              </w:rPr>
              <w:t>危险废物贮存场所应按照要求设置警告标志，危废包装、容器和贮存场所应按照《危险废物贮存污染控制标准》（GB18597-2023）及“省生态环境厅关于做好《危险废物贮存污染控制标准》等标准规范实施后危险废物环境管理衔接工作的通知（苏环办〔2023〕154号）”有关要求张贴标识。</w:t>
            </w:r>
          </w:p>
          <w:p>
            <w:pPr>
              <w:spacing w:line="480" w:lineRule="exact"/>
              <w:jc w:val="center"/>
              <w:rPr>
                <w:b/>
                <w:bCs/>
                <w:szCs w:val="21"/>
              </w:rPr>
            </w:pPr>
            <w:r>
              <w:rPr>
                <w:b/>
                <w:bCs/>
                <w:sz w:val="18"/>
                <w:szCs w:val="18"/>
              </w:rPr>
              <w:t>表4-27  危险固废暂存间环保图形标志</w:t>
            </w:r>
          </w:p>
          <w:tbl>
            <w:tblPr>
              <w:tblStyle w:val="21"/>
              <w:tblW w:w="7942"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701"/>
              <w:gridCol w:w="338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56" w:type="dxa"/>
                  <w:noWrap w:val="0"/>
                  <w:vAlign w:val="center"/>
                </w:tcPr>
                <w:p>
                  <w:pPr>
                    <w:jc w:val="center"/>
                    <w:rPr>
                      <w:b/>
                      <w:sz w:val="18"/>
                      <w:szCs w:val="18"/>
                    </w:rPr>
                  </w:pPr>
                  <w:r>
                    <w:rPr>
                      <w:b/>
                      <w:sz w:val="18"/>
                      <w:szCs w:val="18"/>
                    </w:rPr>
                    <w:t>危险废物标识名称</w:t>
                  </w:r>
                </w:p>
              </w:tc>
              <w:tc>
                <w:tcPr>
                  <w:tcW w:w="3701" w:type="dxa"/>
                  <w:noWrap w:val="0"/>
                  <w:vAlign w:val="center"/>
                </w:tcPr>
                <w:p>
                  <w:pPr>
                    <w:jc w:val="center"/>
                    <w:rPr>
                      <w:b/>
                      <w:sz w:val="18"/>
                      <w:szCs w:val="18"/>
                    </w:rPr>
                  </w:pPr>
                  <w:r>
                    <w:rPr>
                      <w:b/>
                      <w:sz w:val="18"/>
                      <w:szCs w:val="18"/>
                    </w:rPr>
                    <w:t>图案样式</w:t>
                  </w:r>
                </w:p>
              </w:tc>
              <w:tc>
                <w:tcPr>
                  <w:tcW w:w="3385" w:type="dxa"/>
                  <w:noWrap w:val="0"/>
                  <w:vAlign w:val="center"/>
                </w:tcPr>
                <w:p>
                  <w:pPr>
                    <w:jc w:val="center"/>
                    <w:rPr>
                      <w:b/>
                      <w:sz w:val="18"/>
                      <w:szCs w:val="18"/>
                    </w:rPr>
                  </w:pPr>
                  <w:r>
                    <w:rPr>
                      <w:b/>
                      <w:sz w:val="18"/>
                      <w:szCs w:val="18"/>
                    </w:rPr>
                    <w:t>设置规范</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856" w:type="dxa"/>
                  <w:noWrap w:val="0"/>
                  <w:vAlign w:val="center"/>
                </w:tcPr>
                <w:p>
                  <w:pPr>
                    <w:jc w:val="center"/>
                    <w:rPr>
                      <w:bCs/>
                      <w:sz w:val="18"/>
                      <w:szCs w:val="18"/>
                    </w:rPr>
                  </w:pPr>
                  <w:r>
                    <w:rPr>
                      <w:bCs/>
                      <w:sz w:val="18"/>
                      <w:szCs w:val="18"/>
                    </w:rPr>
                    <w:t>贮存设施警示标识牌</w:t>
                  </w:r>
                </w:p>
              </w:tc>
              <w:tc>
                <w:tcPr>
                  <w:tcW w:w="3701" w:type="dxa"/>
                  <w:noWrap w:val="0"/>
                  <w:vAlign w:val="center"/>
                </w:tcPr>
                <w:p>
                  <w:pPr>
                    <w:jc w:val="center"/>
                    <w:rPr>
                      <w:bCs/>
                      <w:sz w:val="18"/>
                      <w:szCs w:val="18"/>
                    </w:rPr>
                  </w:pPr>
                  <w:r>
                    <w:rPr>
                      <w:sz w:val="18"/>
                      <w:szCs w:val="18"/>
                    </w:rPr>
                    <w:drawing>
                      <wp:inline distT="0" distB="0" distL="114300" distR="114300">
                        <wp:extent cx="2263775" cy="1510030"/>
                        <wp:effectExtent l="0" t="0" r="3175" b="1397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26"/>
                                <a:stretch>
                                  <a:fillRect/>
                                </a:stretch>
                              </pic:blipFill>
                              <pic:spPr>
                                <a:xfrm>
                                  <a:off x="0" y="0"/>
                                  <a:ext cx="2263775" cy="1510030"/>
                                </a:xfrm>
                                <a:prstGeom prst="rect">
                                  <a:avLst/>
                                </a:prstGeom>
                                <a:noFill/>
                                <a:ln>
                                  <a:noFill/>
                                </a:ln>
                              </pic:spPr>
                            </pic:pic>
                          </a:graphicData>
                        </a:graphic>
                      </wp:inline>
                    </w:drawing>
                  </w:r>
                </w:p>
              </w:tc>
              <w:tc>
                <w:tcPr>
                  <w:tcW w:w="3385" w:type="dxa"/>
                  <w:noWrap w:val="0"/>
                  <w:vAlign w:val="center"/>
                </w:tcPr>
                <w:p>
                  <w:pPr>
                    <w:rPr>
                      <w:bCs/>
                      <w:sz w:val="18"/>
                      <w:szCs w:val="18"/>
                    </w:rPr>
                  </w:pPr>
                  <w:r>
                    <w:rPr>
                      <w:bCs/>
                      <w:sz w:val="18"/>
                      <w:szCs w:val="18"/>
                    </w:rPr>
                    <w:t>1.设置位置</w:t>
                  </w:r>
                </w:p>
                <w:p>
                  <w:pPr>
                    <w:rPr>
                      <w:bCs/>
                      <w:sz w:val="18"/>
                      <w:szCs w:val="18"/>
                    </w:rPr>
                  </w:pPr>
                  <w:r>
                    <w:rPr>
                      <w:bCs/>
                      <w:sz w:val="18"/>
                      <w:szCs w:val="18"/>
                    </w:rPr>
                    <w:t>采用立式固定方式固定在危险废物产生单位厂区门口醒目位置，公开栏顶端距离地面200cm处。</w:t>
                  </w:r>
                </w:p>
                <w:p>
                  <w:pPr>
                    <w:rPr>
                      <w:bCs/>
                      <w:sz w:val="18"/>
                      <w:szCs w:val="18"/>
                    </w:rPr>
                  </w:pPr>
                  <w:r>
                    <w:rPr>
                      <w:bCs/>
                      <w:sz w:val="18"/>
                      <w:szCs w:val="18"/>
                    </w:rPr>
                    <w:t>2.规格参数</w:t>
                  </w:r>
                </w:p>
                <w:p>
                  <w:pPr>
                    <w:rPr>
                      <w:bCs/>
                      <w:sz w:val="18"/>
                      <w:szCs w:val="18"/>
                    </w:rPr>
                  </w:pPr>
                  <w:r>
                    <w:rPr>
                      <w:bCs/>
                      <w:sz w:val="18"/>
                      <w:szCs w:val="18"/>
                    </w:rPr>
                    <w:t>（1）尺寸：底板120cm×80cm。</w:t>
                  </w:r>
                </w:p>
                <w:p>
                  <w:pPr>
                    <w:rPr>
                      <w:bCs/>
                      <w:sz w:val="18"/>
                      <w:szCs w:val="18"/>
                    </w:rPr>
                  </w:pPr>
                  <w:r>
                    <w:rPr>
                      <w:bCs/>
                      <w:sz w:val="18"/>
                      <w:szCs w:val="18"/>
                    </w:rPr>
                    <w:t>（2）颜色与字体：公开栏底板背景颜色为蓝色（印刷CMYK参数附后，下同），文字颜色为白色，所有文字字体为黑体。</w:t>
                  </w:r>
                </w:p>
                <w:p>
                  <w:pPr>
                    <w:rPr>
                      <w:bCs/>
                      <w:sz w:val="18"/>
                      <w:szCs w:val="18"/>
                    </w:rPr>
                  </w:pPr>
                  <w:r>
                    <w:rPr>
                      <w:bCs/>
                      <w:sz w:val="18"/>
                      <w:szCs w:val="18"/>
                    </w:rPr>
                    <w:t>（3）材料：底板采用5mm铝板。</w:t>
                  </w:r>
                </w:p>
                <w:p>
                  <w:pPr>
                    <w:rPr>
                      <w:bCs/>
                      <w:sz w:val="18"/>
                      <w:szCs w:val="18"/>
                    </w:rPr>
                  </w:pPr>
                  <w:r>
                    <w:rPr>
                      <w:bCs/>
                      <w:sz w:val="18"/>
                      <w:szCs w:val="18"/>
                    </w:rPr>
                    <w:t>3.公开内容</w:t>
                  </w:r>
                </w:p>
                <w:p>
                  <w:pPr>
                    <w:rPr>
                      <w:bCs/>
                      <w:sz w:val="18"/>
                      <w:szCs w:val="18"/>
                    </w:rPr>
                  </w:pPr>
                  <w:r>
                    <w:rPr>
                      <w:bCs/>
                      <w:sz w:val="18"/>
                      <w:szCs w:val="18"/>
                    </w:rPr>
                    <w:t>包括企业名称、地址、法人代表及电话、环保负责人及电话、危险废物产生规模、贮存设施建筑面积和容积、贮存设施数量、危险废物名称、危险废物代码、环评批文、产生来源、环境污染防治措施、厂区平面示意图、监督举报途径、监制单位等信息。</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856" w:type="dxa"/>
                  <w:noWrap w:val="0"/>
                  <w:vAlign w:val="center"/>
                </w:tcPr>
                <w:p>
                  <w:pPr>
                    <w:jc w:val="center"/>
                    <w:rPr>
                      <w:bCs/>
                      <w:sz w:val="18"/>
                      <w:szCs w:val="18"/>
                    </w:rPr>
                  </w:pPr>
                  <w:r>
                    <w:rPr>
                      <w:bCs/>
                      <w:sz w:val="18"/>
                      <w:szCs w:val="18"/>
                    </w:rPr>
                    <w:t>贮存设施警示标志牌</w:t>
                  </w:r>
                </w:p>
              </w:tc>
              <w:tc>
                <w:tcPr>
                  <w:tcW w:w="3701" w:type="dxa"/>
                  <w:noWrap w:val="0"/>
                  <w:vAlign w:val="center"/>
                </w:tcPr>
                <w:p>
                  <w:pPr>
                    <w:jc w:val="center"/>
                    <w:rPr>
                      <w:sz w:val="18"/>
                      <w:szCs w:val="18"/>
                    </w:rPr>
                  </w:pPr>
                  <w:r>
                    <w:drawing>
                      <wp:inline distT="0" distB="0" distL="114300" distR="114300">
                        <wp:extent cx="2261870" cy="3564890"/>
                        <wp:effectExtent l="0" t="0" r="5080" b="16510"/>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27"/>
                                <a:stretch>
                                  <a:fillRect/>
                                </a:stretch>
                              </pic:blipFill>
                              <pic:spPr>
                                <a:xfrm>
                                  <a:off x="0" y="0"/>
                                  <a:ext cx="2261870" cy="3564890"/>
                                </a:xfrm>
                                <a:prstGeom prst="rect">
                                  <a:avLst/>
                                </a:prstGeom>
                                <a:noFill/>
                                <a:ln>
                                  <a:noFill/>
                                </a:ln>
                              </pic:spPr>
                            </pic:pic>
                          </a:graphicData>
                        </a:graphic>
                      </wp:inline>
                    </w:drawing>
                  </w:r>
                </w:p>
              </w:tc>
              <w:tc>
                <w:tcPr>
                  <w:tcW w:w="3385" w:type="dxa"/>
                  <w:noWrap w:val="0"/>
                  <w:vAlign w:val="center"/>
                </w:tcPr>
                <w:p>
                  <w:pPr>
                    <w:rPr>
                      <w:bCs/>
                      <w:sz w:val="18"/>
                      <w:szCs w:val="18"/>
                    </w:rPr>
                  </w:pPr>
                  <w:r>
                    <w:rPr>
                      <w:bCs/>
                      <w:sz w:val="18"/>
                      <w:szCs w:val="18"/>
                    </w:rPr>
                    <w:t>1.设置要求</w:t>
                  </w:r>
                </w:p>
                <w:p>
                  <w:pPr>
                    <w:rPr>
                      <w:bCs/>
                      <w:sz w:val="18"/>
                      <w:szCs w:val="18"/>
                    </w:rPr>
                  </w:pPr>
                  <w:r>
                    <w:rPr>
                      <w:bCs/>
                      <w:sz w:val="18"/>
                      <w:szCs w:val="18"/>
                    </w:rPr>
                    <w:t>对于有独立场所的危险废物贮存、利用、处置设施，应在场所外入口处的墙壁或栏杆显著位置设置相应的设施标志。</w:t>
                  </w:r>
                </w:p>
                <w:p>
                  <w:pPr>
                    <w:rPr>
                      <w:bCs/>
                      <w:sz w:val="18"/>
                      <w:szCs w:val="18"/>
                    </w:rPr>
                  </w:pPr>
                  <w:r>
                    <w:rPr>
                      <w:bCs/>
                      <w:sz w:val="18"/>
                      <w:szCs w:val="18"/>
                    </w:rPr>
                    <w:t>位于建筑物内局部区域的危险废物贮存、利用、处置设施，应在其区域边界或入口处显著位置设置相应的标志。</w:t>
                  </w:r>
                </w:p>
                <w:p>
                  <w:pPr>
                    <w:rPr>
                      <w:bCs/>
                      <w:sz w:val="18"/>
                      <w:szCs w:val="18"/>
                    </w:rPr>
                  </w:pPr>
                  <w:r>
                    <w:rPr>
                      <w:bCs/>
                      <w:sz w:val="18"/>
                      <w:szCs w:val="18"/>
                    </w:rPr>
                    <w:t>附着式标志的设置高度，应尽量与视线高度一致；柱式的标志和支架应牢固地联接在一起，标志牌最上端距地面约2m；位于室外的标志牌中，支架固定在地下的，其支架埋深约0.3m。</w:t>
                  </w:r>
                </w:p>
                <w:p>
                  <w:pPr>
                    <w:rPr>
                      <w:bCs/>
                      <w:sz w:val="18"/>
                      <w:szCs w:val="18"/>
                    </w:rPr>
                  </w:pPr>
                  <w:r>
                    <w:rPr>
                      <w:bCs/>
                      <w:sz w:val="18"/>
                      <w:szCs w:val="18"/>
                    </w:rPr>
                    <w:t>危险废物设施标志应稳固固定，不能产生倾斜、卷翘、摆动等现象。在室外露天设置时，应充分考虑风力的影响。</w:t>
                  </w:r>
                </w:p>
                <w:p>
                  <w:pPr>
                    <w:rPr>
                      <w:bCs/>
                      <w:sz w:val="18"/>
                      <w:szCs w:val="18"/>
                    </w:rPr>
                  </w:pPr>
                  <w:r>
                    <w:rPr>
                      <w:bCs/>
                      <w:sz w:val="18"/>
                      <w:szCs w:val="18"/>
                    </w:rPr>
                    <w:t>2.规格尺寸</w:t>
                  </w:r>
                </w:p>
                <w:p>
                  <w:pPr>
                    <w:rPr>
                      <w:bCs/>
                      <w:sz w:val="18"/>
                      <w:szCs w:val="18"/>
                    </w:rPr>
                  </w:pPr>
                  <w:r>
                    <w:rPr>
                      <w:bCs/>
                      <w:sz w:val="18"/>
                      <w:szCs w:val="18"/>
                    </w:rPr>
                    <w:t>颜色：危险废物设施标志背景颜色为黄色，RGB颜色值为（255,255,0）。字体和边框颜色为黑色，RGB颜色值为（0,0,0）。</w:t>
                  </w:r>
                </w:p>
                <w:p>
                  <w:pPr>
                    <w:rPr>
                      <w:bCs/>
                      <w:sz w:val="18"/>
                      <w:szCs w:val="18"/>
                    </w:rPr>
                  </w:pPr>
                  <w:r>
                    <w:rPr>
                      <w:bCs/>
                      <w:sz w:val="18"/>
                      <w:szCs w:val="18"/>
                    </w:rPr>
                    <w:t>字体：危险废物设施标志字体应采用黑体字，其中危险废物设施类型的字样应加粗放大并居中显示。</w:t>
                  </w:r>
                </w:p>
                <w:p>
                  <w:pPr>
                    <w:rPr>
                      <w:bCs/>
                      <w:sz w:val="18"/>
                      <w:szCs w:val="18"/>
                    </w:rPr>
                  </w:pPr>
                  <w:r>
                    <w:rPr>
                      <w:bCs/>
                      <w:sz w:val="18"/>
                      <w:szCs w:val="18"/>
                    </w:rPr>
                    <w:t>尺寸：危险废物贮存、利用、处置设施标志的尺寸宜根据其设置位置和对应的观察距离按照《危险废物识别标志设置技术规范》</w:t>
                  </w:r>
                  <w:r>
                    <w:rPr>
                      <w:bCs/>
                      <w:sz w:val="18"/>
                      <w:szCs w:val="18"/>
                    </w:rPr>
                    <w:fldChar w:fldCharType="begin"/>
                  </w:r>
                  <w:r>
                    <w:rPr>
                      <w:bCs/>
                      <w:sz w:val="18"/>
                      <w:szCs w:val="18"/>
                    </w:rPr>
                    <w:instrText xml:space="preserve"> HYPERLINK "https://www.mee.gov.cn/ywgz/fgbz/bz/bzwb/gthw/wxfwjbffbz/202302/W020230224650971041729.pdf" </w:instrText>
                  </w:r>
                  <w:r>
                    <w:rPr>
                      <w:bCs/>
                      <w:sz w:val="18"/>
                      <w:szCs w:val="18"/>
                    </w:rPr>
                    <w:fldChar w:fldCharType="separate"/>
                  </w:r>
                  <w:r>
                    <w:rPr>
                      <w:bCs/>
                      <w:sz w:val="18"/>
                      <w:szCs w:val="18"/>
                    </w:rPr>
                    <w:t>（HJ1276—2022）</w:t>
                  </w:r>
                  <w:r>
                    <w:rPr>
                      <w:bCs/>
                      <w:sz w:val="18"/>
                      <w:szCs w:val="18"/>
                    </w:rPr>
                    <w:fldChar w:fldCharType="end"/>
                  </w:r>
                  <w:r>
                    <w:rPr>
                      <w:bCs/>
                      <w:sz w:val="18"/>
                      <w:szCs w:val="18"/>
                    </w:rPr>
                    <w:t>表3中的要求设置。</w:t>
                  </w:r>
                </w:p>
                <w:p>
                  <w:pPr>
                    <w:rPr>
                      <w:bCs/>
                      <w:sz w:val="18"/>
                      <w:szCs w:val="18"/>
                    </w:rPr>
                  </w:pPr>
                  <w:r>
                    <w:rPr>
                      <w:bCs/>
                      <w:sz w:val="18"/>
                      <w:szCs w:val="18"/>
                    </w:rPr>
                    <w:t>材质：宜采用坚固耐用的材料（如1.5mm～2mm冷轧钢板），并做搪瓷处理或贴膜处理。一般不宜使用遇水变形、变质或易燃的材料。柱式标志牌的立柱可采用38×4无缝钢管或其他坚固耐用的材料，并经过防腐处理。</w:t>
                  </w:r>
                </w:p>
                <w:p>
                  <w:pPr>
                    <w:rPr>
                      <w:bCs/>
                      <w:sz w:val="18"/>
                      <w:szCs w:val="18"/>
                    </w:rPr>
                  </w:pPr>
                  <w:r>
                    <w:rPr>
                      <w:bCs/>
                      <w:sz w:val="18"/>
                      <w:szCs w:val="18"/>
                    </w:rPr>
                    <w:t>印刷：图形和文字应清晰、完整，保证在足够的观察距离条件下也不影响阅读。三角形警告性图形与其他信息间宜加黑色分界线区分，分界线的宽度宜不小于3mm。</w:t>
                  </w:r>
                </w:p>
                <w:p>
                  <w:pPr>
                    <w:rPr>
                      <w:bCs/>
                      <w:sz w:val="18"/>
                      <w:szCs w:val="18"/>
                    </w:rPr>
                  </w:pPr>
                  <w:r>
                    <w:rPr>
                      <w:bCs/>
                      <w:sz w:val="18"/>
                      <w:szCs w:val="18"/>
                    </w:rPr>
                    <w:t>外观质量：标志牌和立柱无明显变形。标志牌表面无气泡，膜或搪瓷无脱落。图案清晰，色泽一致，没有明显缺损。</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856" w:type="dxa"/>
                  <w:noWrap w:val="0"/>
                  <w:vAlign w:val="center"/>
                </w:tcPr>
                <w:p>
                  <w:pPr>
                    <w:jc w:val="center"/>
                    <w:rPr>
                      <w:bCs/>
                      <w:sz w:val="18"/>
                      <w:szCs w:val="18"/>
                    </w:rPr>
                  </w:pPr>
                  <w:r>
                    <w:rPr>
                      <w:bCs/>
                      <w:sz w:val="18"/>
                      <w:szCs w:val="18"/>
                    </w:rPr>
                    <w:t>危废贮存分区标志</w:t>
                  </w:r>
                </w:p>
              </w:tc>
              <w:tc>
                <w:tcPr>
                  <w:tcW w:w="3701" w:type="dxa"/>
                  <w:noWrap w:val="0"/>
                  <w:vAlign w:val="center"/>
                </w:tcPr>
                <w:p>
                  <w:pPr>
                    <w:jc w:val="center"/>
                    <w:rPr>
                      <w:sz w:val="18"/>
                      <w:szCs w:val="18"/>
                    </w:rPr>
                  </w:pPr>
                  <w:r>
                    <w:drawing>
                      <wp:inline distT="0" distB="0" distL="114300" distR="114300">
                        <wp:extent cx="2205990" cy="2198370"/>
                        <wp:effectExtent l="0" t="0" r="3810" b="11430"/>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28"/>
                                <a:stretch>
                                  <a:fillRect/>
                                </a:stretch>
                              </pic:blipFill>
                              <pic:spPr>
                                <a:xfrm>
                                  <a:off x="0" y="0"/>
                                  <a:ext cx="2205990" cy="2198370"/>
                                </a:xfrm>
                                <a:prstGeom prst="rect">
                                  <a:avLst/>
                                </a:prstGeom>
                                <a:noFill/>
                                <a:ln>
                                  <a:noFill/>
                                </a:ln>
                              </pic:spPr>
                            </pic:pic>
                          </a:graphicData>
                        </a:graphic>
                      </wp:inline>
                    </w:drawing>
                  </w:r>
                </w:p>
              </w:tc>
              <w:tc>
                <w:tcPr>
                  <w:tcW w:w="3385" w:type="dxa"/>
                  <w:noWrap w:val="0"/>
                  <w:vAlign w:val="center"/>
                </w:tcPr>
                <w:p>
                  <w:pPr>
                    <w:rPr>
                      <w:bCs/>
                      <w:sz w:val="18"/>
                      <w:szCs w:val="18"/>
                    </w:rPr>
                  </w:pPr>
                  <w:r>
                    <w:rPr>
                      <w:bCs/>
                      <w:sz w:val="18"/>
                      <w:szCs w:val="18"/>
                    </w:rPr>
                    <w:t>1.设置要求</w:t>
                  </w:r>
                </w:p>
                <w:p>
                  <w:pPr>
                    <w:rPr>
                      <w:bCs/>
                      <w:sz w:val="18"/>
                      <w:szCs w:val="18"/>
                    </w:rPr>
                  </w:pPr>
                  <w:r>
                    <w:rPr>
                      <w:bCs/>
                      <w:sz w:val="18"/>
                      <w:szCs w:val="18"/>
                    </w:rPr>
                    <w:t>危险废物贮存分区的划分应满足 GB 18597 中的有关规定。宜在危险废物贮存设施内的每一个贮存分区处设置危险废物贮存分区标志。</w:t>
                  </w:r>
                </w:p>
                <w:p>
                  <w:pPr>
                    <w:rPr>
                      <w:bCs/>
                      <w:sz w:val="18"/>
                      <w:szCs w:val="18"/>
                    </w:rPr>
                  </w:pPr>
                  <w:r>
                    <w:rPr>
                      <w:bCs/>
                      <w:sz w:val="18"/>
                      <w:szCs w:val="18"/>
                    </w:rPr>
                    <w:t>危险废物贮存分区标志宜设置在该贮存分区前的通道位置或墙壁、栏杆等易于观察的位置。</w:t>
                  </w:r>
                </w:p>
                <w:p>
                  <w:pPr>
                    <w:rPr>
                      <w:bCs/>
                      <w:sz w:val="18"/>
                      <w:szCs w:val="18"/>
                    </w:rPr>
                  </w:pPr>
                  <w:r>
                    <w:rPr>
                      <w:bCs/>
                      <w:sz w:val="18"/>
                      <w:szCs w:val="18"/>
                    </w:rPr>
                    <w:t>危险废物贮存分区标志可采用附着式（如钉挂、粘贴等）、悬挂式和柱式（固定于标志杆或支架等物体上）等固定形式。</w:t>
                  </w:r>
                </w:p>
                <w:p>
                  <w:pPr>
                    <w:rPr>
                      <w:bCs/>
                      <w:sz w:val="18"/>
                      <w:szCs w:val="18"/>
                    </w:rPr>
                  </w:pPr>
                  <w:r>
                    <w:rPr>
                      <w:bCs/>
                      <w:sz w:val="18"/>
                      <w:szCs w:val="18"/>
                    </w:rPr>
                    <w:t>危险废物贮存分区标志中各贮存分区存放的危险废物种类信息可采用卡槽式或附着式（如钉挂、粘贴等）固定方式。</w:t>
                  </w:r>
                </w:p>
                <w:p>
                  <w:pPr>
                    <w:rPr>
                      <w:bCs/>
                      <w:sz w:val="18"/>
                      <w:szCs w:val="18"/>
                    </w:rPr>
                  </w:pPr>
                </w:p>
                <w:p>
                  <w:pPr>
                    <w:rPr>
                      <w:bCs/>
                      <w:sz w:val="18"/>
                      <w:szCs w:val="18"/>
                    </w:rPr>
                  </w:pPr>
                  <w:r>
                    <w:rPr>
                      <w:bCs/>
                      <w:sz w:val="18"/>
                      <w:szCs w:val="18"/>
                    </w:rPr>
                    <w:t>2.规格尺寸</w:t>
                  </w:r>
                </w:p>
                <w:p>
                  <w:pPr>
                    <w:rPr>
                      <w:bCs/>
                      <w:sz w:val="18"/>
                      <w:szCs w:val="18"/>
                    </w:rPr>
                  </w:pPr>
                  <w:r>
                    <w:rPr>
                      <w:bCs/>
                      <w:sz w:val="18"/>
                      <w:szCs w:val="18"/>
                    </w:rPr>
                    <w:t>颜色：危险废物分区标志背景色应采用黄色，RGB颜色值为（255,255,0）。废物种类信息应采用醒目的橘黄色，RGB颜色值为（255,150,0）。字体颜色为黑色，RGB颜色值为（0,0,0）。</w:t>
                  </w:r>
                </w:p>
                <w:p>
                  <w:pPr>
                    <w:rPr>
                      <w:bCs/>
                      <w:sz w:val="18"/>
                      <w:szCs w:val="18"/>
                    </w:rPr>
                  </w:pPr>
                  <w:r>
                    <w:rPr>
                      <w:bCs/>
                      <w:sz w:val="18"/>
                      <w:szCs w:val="18"/>
                    </w:rPr>
                    <w:t>字体：危险废物分区标志的字体宜采用黑体字，其中“危险废物贮存分区标志”字样应加粗放大并居中显示。</w:t>
                  </w:r>
                </w:p>
                <w:p>
                  <w:pPr>
                    <w:rPr>
                      <w:bCs/>
                      <w:sz w:val="18"/>
                      <w:szCs w:val="18"/>
                    </w:rPr>
                  </w:pPr>
                  <w:r>
                    <w:rPr>
                      <w:bCs/>
                      <w:sz w:val="18"/>
                      <w:szCs w:val="18"/>
                    </w:rPr>
                    <w:t>尺寸：危险废物贮存分区标志的尺寸宜根据对应的观察距离按照《危险废物识别标志设置技术规范》</w:t>
                  </w:r>
                  <w:r>
                    <w:rPr>
                      <w:bCs/>
                      <w:sz w:val="18"/>
                      <w:szCs w:val="18"/>
                    </w:rPr>
                    <w:fldChar w:fldCharType="begin"/>
                  </w:r>
                  <w:r>
                    <w:rPr>
                      <w:bCs/>
                      <w:sz w:val="18"/>
                      <w:szCs w:val="18"/>
                    </w:rPr>
                    <w:instrText xml:space="preserve"> HYPERLINK "https://www.mee.gov.cn/ywgz/fgbz/bz/bzwb/gthw/wxfwjbffbz/202302/W020230224650971041729.pdf" </w:instrText>
                  </w:r>
                  <w:r>
                    <w:rPr>
                      <w:bCs/>
                      <w:sz w:val="18"/>
                      <w:szCs w:val="18"/>
                    </w:rPr>
                    <w:fldChar w:fldCharType="separate"/>
                  </w:r>
                  <w:r>
                    <w:rPr>
                      <w:bCs/>
                      <w:sz w:val="18"/>
                      <w:szCs w:val="18"/>
                    </w:rPr>
                    <w:t>（HJ1276—2022）</w:t>
                  </w:r>
                  <w:r>
                    <w:rPr>
                      <w:bCs/>
                      <w:sz w:val="18"/>
                      <w:szCs w:val="18"/>
                    </w:rPr>
                    <w:fldChar w:fldCharType="end"/>
                  </w:r>
                  <w:r>
                    <w:rPr>
                      <w:bCs/>
                      <w:sz w:val="18"/>
                      <w:szCs w:val="18"/>
                    </w:rPr>
                    <w:t>表2中的要求设置。</w:t>
                  </w:r>
                </w:p>
                <w:p>
                  <w:pPr>
                    <w:rPr>
                      <w:bCs/>
                      <w:sz w:val="18"/>
                      <w:szCs w:val="18"/>
                    </w:rPr>
                  </w:pPr>
                  <w:r>
                    <w:rPr>
                      <w:bCs/>
                      <w:sz w:val="18"/>
                      <w:szCs w:val="18"/>
                    </w:rPr>
                    <w:t>材质：危险废物贮存分区标志的衬底宜采用坚固耐用的材料，并具有耐用性和防水性。废物贮存种类信息等可采用印刷纸张、不粘胶材质或塑料卡片等，以便固定在衬底上。</w:t>
                  </w:r>
                </w:p>
                <w:p>
                  <w:pPr>
                    <w:rPr>
                      <w:bCs/>
                      <w:sz w:val="18"/>
                      <w:szCs w:val="18"/>
                    </w:rPr>
                  </w:pPr>
                  <w:r>
                    <w:rPr>
                      <w:bCs/>
                      <w:sz w:val="18"/>
                      <w:szCs w:val="18"/>
                    </w:rPr>
                    <w:t>印刷：危险废物贮存分区标志的图形和文字应清晰、完整，保证在足够的观察距离条件下不影响阅读。“危险废物贮存分区标志”字样与其他信息宜加黑色分界线区分，分界线的宽度不小于2mm。</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856" w:type="dxa"/>
                  <w:noWrap w:val="0"/>
                  <w:vAlign w:val="center"/>
                </w:tcPr>
                <w:p>
                  <w:pPr>
                    <w:jc w:val="center"/>
                    <w:rPr>
                      <w:bCs/>
                      <w:sz w:val="18"/>
                      <w:szCs w:val="18"/>
                    </w:rPr>
                  </w:pPr>
                  <w:r>
                    <w:rPr>
                      <w:bCs/>
                      <w:sz w:val="18"/>
                      <w:szCs w:val="18"/>
                    </w:rPr>
                    <w:t>包装识别标签</w:t>
                  </w:r>
                </w:p>
              </w:tc>
              <w:tc>
                <w:tcPr>
                  <w:tcW w:w="3701" w:type="dxa"/>
                  <w:noWrap w:val="0"/>
                  <w:vAlign w:val="center"/>
                </w:tcPr>
                <w:p>
                  <w:pPr>
                    <w:jc w:val="center"/>
                    <w:rPr>
                      <w:sz w:val="18"/>
                      <w:szCs w:val="18"/>
                    </w:rPr>
                  </w:pPr>
                  <w:r>
                    <w:drawing>
                      <wp:inline distT="0" distB="0" distL="114300" distR="114300">
                        <wp:extent cx="2204720" cy="2200275"/>
                        <wp:effectExtent l="0" t="0" r="5080" b="9525"/>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9"/>
                                <a:stretch>
                                  <a:fillRect/>
                                </a:stretch>
                              </pic:blipFill>
                              <pic:spPr>
                                <a:xfrm>
                                  <a:off x="0" y="0"/>
                                  <a:ext cx="2204720" cy="2200275"/>
                                </a:xfrm>
                                <a:prstGeom prst="rect">
                                  <a:avLst/>
                                </a:prstGeom>
                                <a:noFill/>
                                <a:ln>
                                  <a:noFill/>
                                </a:ln>
                              </pic:spPr>
                            </pic:pic>
                          </a:graphicData>
                        </a:graphic>
                      </wp:inline>
                    </w:drawing>
                  </w:r>
                </w:p>
              </w:tc>
              <w:tc>
                <w:tcPr>
                  <w:tcW w:w="3385" w:type="dxa"/>
                  <w:noWrap w:val="0"/>
                  <w:vAlign w:val="center"/>
                </w:tcPr>
                <w:p>
                  <w:pPr>
                    <w:rPr>
                      <w:bCs/>
                      <w:sz w:val="18"/>
                      <w:szCs w:val="18"/>
                    </w:rPr>
                  </w:pPr>
                  <w:r>
                    <w:rPr>
                      <w:bCs/>
                      <w:sz w:val="18"/>
                      <w:szCs w:val="18"/>
                    </w:rPr>
                    <w:t>1.设置要求</w:t>
                  </w:r>
                </w:p>
                <w:p>
                  <w:pPr>
                    <w:rPr>
                      <w:bCs/>
                      <w:sz w:val="18"/>
                      <w:szCs w:val="18"/>
                    </w:rPr>
                  </w:pPr>
                  <w:r>
                    <w:rPr>
                      <w:bCs/>
                      <w:sz w:val="18"/>
                      <w:szCs w:val="18"/>
                    </w:rPr>
                    <w:t>危险废物标签中的二维码部分，可与标签一同制作，也可以单独制作后固定于危险废物标签相应位置。</w:t>
                  </w:r>
                </w:p>
                <w:p>
                  <w:pPr>
                    <w:rPr>
                      <w:bCs/>
                      <w:sz w:val="18"/>
                      <w:szCs w:val="18"/>
                    </w:rPr>
                  </w:pPr>
                  <w:r>
                    <w:rPr>
                      <w:bCs/>
                      <w:sz w:val="18"/>
                      <w:szCs w:val="18"/>
                    </w:rPr>
                    <w:t>危险废物标签的设置位置应明显可见且易读，不应被容器、包装物自身的任何部分或其他标签遮挡。危险废物标签在各种包装上的粘贴位置分别为：</w:t>
                  </w:r>
                </w:p>
                <w:p>
                  <w:pPr>
                    <w:rPr>
                      <w:bCs/>
                      <w:sz w:val="18"/>
                      <w:szCs w:val="18"/>
                    </w:rPr>
                  </w:pPr>
                  <w:r>
                    <w:rPr>
                      <w:bCs/>
                      <w:sz w:val="18"/>
                      <w:szCs w:val="18"/>
                    </w:rPr>
                    <w:t>a） 箱类包装：位于包装端面或侧面；</w:t>
                  </w:r>
                </w:p>
                <w:p>
                  <w:pPr>
                    <w:rPr>
                      <w:bCs/>
                      <w:sz w:val="18"/>
                      <w:szCs w:val="18"/>
                    </w:rPr>
                  </w:pPr>
                  <w:r>
                    <w:rPr>
                      <w:bCs/>
                      <w:sz w:val="18"/>
                      <w:szCs w:val="18"/>
                    </w:rPr>
                    <w:t>b） 袋类包装：位于包装明显处；</w:t>
                  </w:r>
                </w:p>
                <w:p>
                  <w:pPr>
                    <w:rPr>
                      <w:bCs/>
                      <w:sz w:val="18"/>
                      <w:szCs w:val="18"/>
                    </w:rPr>
                  </w:pPr>
                  <w:r>
                    <w:rPr>
                      <w:bCs/>
                      <w:sz w:val="18"/>
                      <w:szCs w:val="18"/>
                    </w:rPr>
                    <w:t>c） 桶类包装：位于桶身或桶盖；</w:t>
                  </w:r>
                </w:p>
                <w:p>
                  <w:pPr>
                    <w:rPr>
                      <w:bCs/>
                      <w:sz w:val="18"/>
                      <w:szCs w:val="18"/>
                    </w:rPr>
                  </w:pPr>
                  <w:r>
                    <w:rPr>
                      <w:bCs/>
                      <w:sz w:val="18"/>
                      <w:szCs w:val="18"/>
                    </w:rPr>
                    <w:t>d） 其他包装：位于明显处。</w:t>
                  </w:r>
                </w:p>
                <w:p>
                  <w:pPr>
                    <w:rPr>
                      <w:bCs/>
                      <w:sz w:val="18"/>
                      <w:szCs w:val="18"/>
                    </w:rPr>
                  </w:pPr>
                  <w:r>
                    <w:rPr>
                      <w:bCs/>
                      <w:sz w:val="18"/>
                      <w:szCs w:val="18"/>
                    </w:rPr>
                    <w:t>对于盛装同一类危险废物的组合包装容器，应在组合包装容器的外表面设置危险废物标签。</w:t>
                  </w:r>
                </w:p>
                <w:p>
                  <w:pPr>
                    <w:rPr>
                      <w:bCs/>
                      <w:sz w:val="18"/>
                      <w:szCs w:val="18"/>
                    </w:rPr>
                  </w:pPr>
                  <w:r>
                    <w:rPr>
                      <w:bCs/>
                      <w:sz w:val="18"/>
                      <w:szCs w:val="18"/>
                    </w:rPr>
                    <w:t>容积超过450L的容器或包装物，应在相对的两面都设置危险废物标签。</w:t>
                  </w:r>
                </w:p>
                <w:p>
                  <w:pPr>
                    <w:rPr>
                      <w:bCs/>
                      <w:sz w:val="18"/>
                      <w:szCs w:val="18"/>
                    </w:rPr>
                  </w:pPr>
                  <w:r>
                    <w:rPr>
                      <w:bCs/>
                      <w:sz w:val="18"/>
                      <w:szCs w:val="18"/>
                    </w:rPr>
                    <w:t>危险废物标签的固定可采用印刷、粘贴、栓挂、钉附等方式，标签的固定应保证在贮存、转移期间不易脱落和损坏。</w:t>
                  </w:r>
                </w:p>
                <w:p>
                  <w:pPr>
                    <w:rPr>
                      <w:bCs/>
                      <w:sz w:val="18"/>
                      <w:szCs w:val="18"/>
                    </w:rPr>
                  </w:pPr>
                  <w:r>
                    <w:rPr>
                      <w:bCs/>
                      <w:sz w:val="18"/>
                      <w:szCs w:val="18"/>
                    </w:rPr>
                    <w:t>当危险废物容器或包装物还需同时设置危险货物运输相关标志时，危险废物标签可与其分开设置在不同的面上，也可设在相邻的位置。</w:t>
                  </w:r>
                </w:p>
                <w:p>
                  <w:pPr>
                    <w:rPr>
                      <w:bCs/>
                      <w:sz w:val="18"/>
                      <w:szCs w:val="18"/>
                    </w:rPr>
                  </w:pPr>
                  <w:r>
                    <w:rPr>
                      <w:bCs/>
                      <w:sz w:val="18"/>
                      <w:szCs w:val="18"/>
                    </w:rPr>
                    <w:t>在贮存设施内堆存的无包装或无容器的危险废物，宜在其附近参照危险废物标签的格式和内容设置柱式标志牌。</w:t>
                  </w:r>
                </w:p>
                <w:p>
                  <w:pPr>
                    <w:rPr>
                      <w:bCs/>
                      <w:sz w:val="18"/>
                      <w:szCs w:val="18"/>
                    </w:rPr>
                  </w:pPr>
                  <w:r>
                    <w:rPr>
                      <w:bCs/>
                      <w:sz w:val="18"/>
                      <w:szCs w:val="18"/>
                    </w:rPr>
                    <w:t>2.规格参数</w:t>
                  </w:r>
                </w:p>
                <w:p>
                  <w:pPr>
                    <w:rPr>
                      <w:bCs/>
                      <w:sz w:val="18"/>
                      <w:szCs w:val="18"/>
                    </w:rPr>
                  </w:pPr>
                  <w:r>
                    <w:rPr>
                      <w:bCs/>
                      <w:sz w:val="18"/>
                      <w:szCs w:val="18"/>
                    </w:rPr>
                    <w:t>颜色：危险废物标签背景色应采用醒目的橘黄色，RGB 颜色值为（255,150,0）。标签边框和字体颜色为黑色，RGB颜色值为（0,0,0）。</w:t>
                  </w:r>
                </w:p>
                <w:p>
                  <w:pPr>
                    <w:rPr>
                      <w:bCs/>
                      <w:sz w:val="18"/>
                      <w:szCs w:val="18"/>
                    </w:rPr>
                  </w:pPr>
                  <w:r>
                    <w:rPr>
                      <w:bCs/>
                      <w:sz w:val="18"/>
                      <w:szCs w:val="18"/>
                    </w:rPr>
                    <w:t>字体：危险废物标签字体宜采用黑体字，其中“危险废物”字样应加粗放大尺寸：危险废物标签的尺寸宜根据容器或包装物的容积按照《危险废物识别标志设置技术规范》</w:t>
                  </w:r>
                  <w:r>
                    <w:rPr>
                      <w:bCs/>
                      <w:sz w:val="18"/>
                      <w:szCs w:val="18"/>
                    </w:rPr>
                    <w:fldChar w:fldCharType="begin"/>
                  </w:r>
                  <w:r>
                    <w:rPr>
                      <w:bCs/>
                      <w:sz w:val="18"/>
                      <w:szCs w:val="18"/>
                    </w:rPr>
                    <w:instrText xml:space="preserve"> HYPERLINK "https://www.mee.gov.cn/ywgz/fgbz/bz/bzwb/gthw/wxfwjbffbz/202302/W020230224650971041729.pdf" </w:instrText>
                  </w:r>
                  <w:r>
                    <w:rPr>
                      <w:bCs/>
                      <w:sz w:val="18"/>
                      <w:szCs w:val="18"/>
                    </w:rPr>
                    <w:fldChar w:fldCharType="separate"/>
                  </w:r>
                  <w:r>
                    <w:rPr>
                      <w:bCs/>
                      <w:sz w:val="18"/>
                      <w:szCs w:val="18"/>
                    </w:rPr>
                    <w:t>（HJ1276—2022）</w:t>
                  </w:r>
                  <w:r>
                    <w:rPr>
                      <w:bCs/>
                      <w:sz w:val="18"/>
                      <w:szCs w:val="18"/>
                    </w:rPr>
                    <w:fldChar w:fldCharType="end"/>
                  </w:r>
                  <w:r>
                    <w:rPr>
                      <w:bCs/>
                      <w:sz w:val="18"/>
                      <w:szCs w:val="18"/>
                    </w:rPr>
                    <w:t>表1中的要求设置。</w:t>
                  </w:r>
                </w:p>
                <w:p>
                  <w:pPr>
                    <w:rPr>
                      <w:bCs/>
                      <w:sz w:val="18"/>
                      <w:szCs w:val="18"/>
                    </w:rPr>
                  </w:pPr>
                  <w:r>
                    <w:rPr>
                      <w:bCs/>
                      <w:sz w:val="18"/>
                      <w:szCs w:val="18"/>
                    </w:rPr>
                    <w:t>材质：危险废物标签所选用的材质宜具有一定的耐用性和防水性。标签可采用不干胶印刷品，或印刷品外加防水塑料袋或塑封等。</w:t>
                  </w:r>
                </w:p>
                <w:p>
                  <w:pPr>
                    <w:rPr>
                      <w:bCs/>
                      <w:sz w:val="18"/>
                      <w:szCs w:val="18"/>
                    </w:rPr>
                  </w:pPr>
                  <w:r>
                    <w:rPr>
                      <w:bCs/>
                      <w:sz w:val="18"/>
                      <w:szCs w:val="18"/>
                    </w:rPr>
                    <w:t>印刷：危险废物标签印刷的油墨应均匀，图案和文字应清晰、完整。危险废物标签的文字边缘宜加黑色边框，边框宽度不小于1mm，边框外宜留不小于3mm的空白。</w:t>
                  </w:r>
                </w:p>
              </w:tc>
            </w:tr>
          </w:tbl>
          <w:p>
            <w:pPr>
              <w:spacing w:line="480" w:lineRule="exact"/>
              <w:ind w:firstLine="420" w:firstLineChars="200"/>
              <w:rPr>
                <w:bCs/>
                <w:szCs w:val="21"/>
              </w:rPr>
            </w:pPr>
            <w:r>
              <w:rPr>
                <w:rFonts w:hint="eastAsia" w:ascii="宋体" w:hAnsi="宋体" w:cs="宋体"/>
                <w:bCs/>
                <w:szCs w:val="21"/>
              </w:rPr>
              <w:t>④</w:t>
            </w:r>
            <w:r>
              <w:rPr>
                <w:bCs/>
                <w:szCs w:val="21"/>
              </w:rPr>
              <w:t>加强固体废物的管理，加强固体废物收集、暂存容器、设施的维护和更新；加强固体废物堆场的巡视；做好</w:t>
            </w:r>
            <w:r>
              <w:rPr>
                <w:rFonts w:hint="eastAsia"/>
                <w:bCs/>
                <w:szCs w:val="21"/>
                <w:lang w:eastAsia="zh-CN"/>
              </w:rPr>
              <w:t>有关台账</w:t>
            </w:r>
            <w:r>
              <w:rPr>
                <w:bCs/>
                <w:szCs w:val="21"/>
              </w:rPr>
              <w:t>手续。</w:t>
            </w:r>
          </w:p>
          <w:p>
            <w:pPr>
              <w:spacing w:line="480" w:lineRule="exact"/>
              <w:ind w:firstLine="420" w:firstLineChars="200"/>
              <w:rPr>
                <w:bCs/>
                <w:szCs w:val="21"/>
              </w:rPr>
            </w:pPr>
            <w:r>
              <w:rPr>
                <w:rFonts w:hint="eastAsia" w:ascii="宋体" w:hAnsi="宋体" w:cs="宋体"/>
                <w:bCs/>
                <w:szCs w:val="21"/>
              </w:rPr>
              <w:t>⑤</w:t>
            </w:r>
            <w:r>
              <w:rPr>
                <w:bCs/>
                <w:szCs w:val="21"/>
              </w:rPr>
              <w:t>应将危险废物提供或者委托给有经营许可证的单位从事收集、贮存、利用、处置的经营活动，并加强对运输单位及处置单位的跟踪检查，确保符合环保要求。</w:t>
            </w:r>
          </w:p>
          <w:p>
            <w:pPr>
              <w:spacing w:line="480" w:lineRule="exact"/>
              <w:ind w:firstLine="420" w:firstLineChars="200"/>
              <w:rPr>
                <w:bCs/>
                <w:szCs w:val="21"/>
              </w:rPr>
            </w:pPr>
            <w:r>
              <w:rPr>
                <w:rFonts w:hint="eastAsia" w:ascii="宋体" w:hAnsi="宋体" w:cs="宋体"/>
                <w:bCs/>
                <w:szCs w:val="21"/>
              </w:rPr>
              <w:t>⑥</w:t>
            </w:r>
            <w:r>
              <w:rPr>
                <w:bCs/>
                <w:szCs w:val="21"/>
              </w:rPr>
              <w:t>贮存危险废物必须采取符合国家环境保护标准的防护措施，并不得超过一年；禁止将危险废物混入非危险废物中贮存；禁止混合收集、贮存、运输、处置性质不相容而未经安全性处置的危险废物。</w:t>
            </w:r>
          </w:p>
          <w:p>
            <w:pPr>
              <w:spacing w:line="480" w:lineRule="exact"/>
              <w:ind w:firstLine="420" w:firstLineChars="200"/>
              <w:rPr>
                <w:bCs/>
                <w:szCs w:val="21"/>
              </w:rPr>
            </w:pPr>
            <w:r>
              <w:rPr>
                <w:rFonts w:hint="eastAsia" w:ascii="宋体" w:hAnsi="宋体" w:cs="宋体"/>
                <w:bCs/>
                <w:szCs w:val="21"/>
              </w:rPr>
              <w:t>⑦</w:t>
            </w:r>
            <w:r>
              <w:rPr>
                <w:bCs/>
                <w:szCs w:val="21"/>
              </w:rPr>
              <w:t>建设单位需尽快完善危险废物处置协议。</w:t>
            </w:r>
          </w:p>
          <w:p>
            <w:pPr>
              <w:spacing w:line="480" w:lineRule="exact"/>
              <w:ind w:firstLine="420" w:firstLineChars="200"/>
              <w:rPr>
                <w:bCs/>
                <w:szCs w:val="21"/>
              </w:rPr>
            </w:pPr>
            <w:r>
              <w:rPr>
                <w:bCs/>
                <w:szCs w:val="21"/>
              </w:rPr>
              <w:t>（3）利用或处置的环境影响分析</w:t>
            </w:r>
          </w:p>
          <w:p>
            <w:pPr>
              <w:spacing w:line="480" w:lineRule="exact"/>
              <w:ind w:firstLine="420" w:firstLineChars="200"/>
              <w:rPr>
                <w:bCs/>
                <w:szCs w:val="21"/>
              </w:rPr>
            </w:pPr>
            <w:r>
              <w:rPr>
                <w:bCs/>
                <w:szCs w:val="21"/>
              </w:rPr>
              <w:t>企业产生的危险废物均应委托有资质单位处理，不得擅自处理。</w:t>
            </w:r>
          </w:p>
          <w:p>
            <w:pPr>
              <w:spacing w:line="480" w:lineRule="exact"/>
              <w:ind w:firstLine="420" w:firstLineChars="200"/>
              <w:rPr>
                <w:bCs/>
                <w:szCs w:val="21"/>
              </w:rPr>
            </w:pPr>
            <w:r>
              <w:rPr>
                <w:bCs/>
                <w:szCs w:val="21"/>
              </w:rPr>
              <w:t>企业应根据危险废物的类别选择《危险废物经营许可证》中具有该类危险废物处置能力和容量的处置资质处置企业的危险废物。根据生态环境主管部门公示的《危险废物经营许可证》持证单位汇总，废活性炭（HW49 900-039-49）的处置单位信息见下表。</w:t>
            </w:r>
          </w:p>
          <w:p>
            <w:pPr>
              <w:spacing w:line="480" w:lineRule="exact"/>
              <w:jc w:val="center"/>
              <w:rPr>
                <w:b/>
                <w:bCs/>
                <w:kern w:val="0"/>
                <w:sz w:val="18"/>
                <w:szCs w:val="18"/>
              </w:rPr>
            </w:pPr>
            <w:r>
              <w:rPr>
                <w:b/>
                <w:bCs/>
                <w:kern w:val="0"/>
                <w:sz w:val="18"/>
                <w:szCs w:val="18"/>
              </w:rPr>
              <w:t>表4-28  危废处置单位情况</w:t>
            </w:r>
          </w:p>
          <w:tbl>
            <w:tblPr>
              <w:tblStyle w:val="21"/>
              <w:tblW w:w="7942"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1"/>
              <w:gridCol w:w="933"/>
              <w:gridCol w:w="993"/>
              <w:gridCol w:w="1621"/>
              <w:gridCol w:w="399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1" w:type="dxa"/>
                  <w:noWrap w:val="0"/>
                  <w:tcMar>
                    <w:top w:w="0" w:type="dxa"/>
                    <w:left w:w="0" w:type="dxa"/>
                    <w:bottom w:w="0" w:type="dxa"/>
                    <w:right w:w="0" w:type="dxa"/>
                  </w:tcMar>
                  <w:vAlign w:val="center"/>
                </w:tcPr>
                <w:p>
                  <w:pPr>
                    <w:jc w:val="center"/>
                    <w:rPr>
                      <w:b/>
                      <w:bCs/>
                      <w:sz w:val="18"/>
                      <w:szCs w:val="18"/>
                    </w:rPr>
                  </w:pPr>
                  <w:r>
                    <w:rPr>
                      <w:b/>
                      <w:bCs/>
                      <w:sz w:val="18"/>
                      <w:szCs w:val="18"/>
                    </w:rPr>
                    <w:t>序号</w:t>
                  </w:r>
                </w:p>
              </w:tc>
              <w:tc>
                <w:tcPr>
                  <w:tcW w:w="933" w:type="dxa"/>
                  <w:noWrap w:val="0"/>
                  <w:tcMar>
                    <w:top w:w="0" w:type="dxa"/>
                    <w:left w:w="0" w:type="dxa"/>
                    <w:bottom w:w="0" w:type="dxa"/>
                    <w:right w:w="0" w:type="dxa"/>
                  </w:tcMar>
                  <w:vAlign w:val="center"/>
                </w:tcPr>
                <w:p>
                  <w:pPr>
                    <w:jc w:val="center"/>
                    <w:rPr>
                      <w:b/>
                      <w:bCs/>
                      <w:sz w:val="18"/>
                      <w:szCs w:val="18"/>
                    </w:rPr>
                  </w:pPr>
                  <w:r>
                    <w:rPr>
                      <w:b/>
                      <w:bCs/>
                      <w:sz w:val="18"/>
                      <w:szCs w:val="18"/>
                    </w:rPr>
                    <w:t>企业名称</w:t>
                  </w:r>
                </w:p>
              </w:tc>
              <w:tc>
                <w:tcPr>
                  <w:tcW w:w="993" w:type="dxa"/>
                  <w:noWrap w:val="0"/>
                  <w:tcMar>
                    <w:top w:w="0" w:type="dxa"/>
                    <w:left w:w="0" w:type="dxa"/>
                    <w:bottom w:w="0" w:type="dxa"/>
                    <w:right w:w="0" w:type="dxa"/>
                  </w:tcMar>
                  <w:vAlign w:val="center"/>
                </w:tcPr>
                <w:p>
                  <w:pPr>
                    <w:jc w:val="center"/>
                    <w:rPr>
                      <w:b/>
                      <w:bCs/>
                      <w:sz w:val="18"/>
                      <w:szCs w:val="18"/>
                    </w:rPr>
                  </w:pPr>
                  <w:r>
                    <w:rPr>
                      <w:b/>
                      <w:bCs/>
                      <w:sz w:val="18"/>
                      <w:szCs w:val="18"/>
                    </w:rPr>
                    <w:t>地址</w:t>
                  </w:r>
                </w:p>
              </w:tc>
              <w:tc>
                <w:tcPr>
                  <w:tcW w:w="1621" w:type="dxa"/>
                  <w:noWrap w:val="0"/>
                  <w:tcMar>
                    <w:top w:w="0" w:type="dxa"/>
                    <w:left w:w="0" w:type="dxa"/>
                    <w:bottom w:w="0" w:type="dxa"/>
                    <w:right w:w="0" w:type="dxa"/>
                  </w:tcMar>
                  <w:vAlign w:val="center"/>
                </w:tcPr>
                <w:p>
                  <w:pPr>
                    <w:jc w:val="center"/>
                    <w:rPr>
                      <w:b/>
                      <w:bCs/>
                      <w:sz w:val="18"/>
                      <w:szCs w:val="18"/>
                    </w:rPr>
                  </w:pPr>
                  <w:r>
                    <w:rPr>
                      <w:b/>
                      <w:bCs/>
                      <w:sz w:val="18"/>
                      <w:szCs w:val="18"/>
                    </w:rPr>
                    <w:t>许可证号</w:t>
                  </w:r>
                </w:p>
              </w:tc>
              <w:tc>
                <w:tcPr>
                  <w:tcW w:w="3994" w:type="dxa"/>
                  <w:noWrap w:val="0"/>
                  <w:tcMar>
                    <w:top w:w="0" w:type="dxa"/>
                    <w:left w:w="0" w:type="dxa"/>
                    <w:bottom w:w="0" w:type="dxa"/>
                    <w:right w:w="0" w:type="dxa"/>
                  </w:tcMar>
                  <w:vAlign w:val="center"/>
                </w:tcPr>
                <w:p>
                  <w:pPr>
                    <w:jc w:val="center"/>
                    <w:rPr>
                      <w:b/>
                      <w:bCs/>
                      <w:sz w:val="18"/>
                      <w:szCs w:val="18"/>
                    </w:rPr>
                  </w:pPr>
                  <w:r>
                    <w:rPr>
                      <w:b/>
                      <w:bCs/>
                      <w:sz w:val="18"/>
                      <w:szCs w:val="18"/>
                    </w:rPr>
                    <w:t>经营品种及能力</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401" w:type="dxa"/>
                  <w:noWrap w:val="0"/>
                  <w:tcMar>
                    <w:top w:w="0" w:type="dxa"/>
                    <w:left w:w="0" w:type="dxa"/>
                    <w:bottom w:w="0" w:type="dxa"/>
                    <w:right w:w="0" w:type="dxa"/>
                  </w:tcMar>
                  <w:vAlign w:val="center"/>
                </w:tcPr>
                <w:p>
                  <w:pPr>
                    <w:jc w:val="center"/>
                    <w:rPr>
                      <w:sz w:val="18"/>
                      <w:szCs w:val="18"/>
                    </w:rPr>
                  </w:pPr>
                  <w:r>
                    <w:rPr>
                      <w:sz w:val="18"/>
                      <w:szCs w:val="18"/>
                    </w:rPr>
                    <w:t>1</w:t>
                  </w:r>
                </w:p>
              </w:tc>
              <w:tc>
                <w:tcPr>
                  <w:tcW w:w="933" w:type="dxa"/>
                  <w:noWrap w:val="0"/>
                  <w:tcMar>
                    <w:top w:w="0" w:type="dxa"/>
                    <w:left w:w="0" w:type="dxa"/>
                    <w:bottom w:w="0" w:type="dxa"/>
                    <w:right w:w="0" w:type="dxa"/>
                  </w:tcMar>
                  <w:vAlign w:val="center"/>
                </w:tcPr>
                <w:p>
                  <w:pPr>
                    <w:jc w:val="center"/>
                    <w:rPr>
                      <w:sz w:val="18"/>
                      <w:szCs w:val="18"/>
                    </w:rPr>
                  </w:pPr>
                  <w:r>
                    <w:rPr>
                      <w:sz w:val="18"/>
                      <w:szCs w:val="18"/>
                    </w:rPr>
                    <w:t>光大升达固废处置（常州）有限公司（处置）</w:t>
                  </w:r>
                </w:p>
              </w:tc>
              <w:tc>
                <w:tcPr>
                  <w:tcW w:w="993" w:type="dxa"/>
                  <w:noWrap w:val="0"/>
                  <w:tcMar>
                    <w:top w:w="0" w:type="dxa"/>
                    <w:left w:w="0" w:type="dxa"/>
                    <w:bottom w:w="0" w:type="dxa"/>
                    <w:right w:w="0" w:type="dxa"/>
                  </w:tcMar>
                  <w:vAlign w:val="center"/>
                </w:tcPr>
                <w:p>
                  <w:pPr>
                    <w:jc w:val="center"/>
                    <w:rPr>
                      <w:sz w:val="18"/>
                      <w:szCs w:val="18"/>
                    </w:rPr>
                  </w:pPr>
                  <w:r>
                    <w:rPr>
                      <w:sz w:val="18"/>
                      <w:szCs w:val="18"/>
                    </w:rPr>
                    <w:t>常州市新北区春江镇化工园（化工园区）港区南路10号</w:t>
                  </w:r>
                </w:p>
              </w:tc>
              <w:tc>
                <w:tcPr>
                  <w:tcW w:w="1621" w:type="dxa"/>
                  <w:noWrap w:val="0"/>
                  <w:tcMar>
                    <w:top w:w="0" w:type="dxa"/>
                    <w:left w:w="0" w:type="dxa"/>
                    <w:bottom w:w="0" w:type="dxa"/>
                    <w:right w:w="0" w:type="dxa"/>
                  </w:tcMar>
                  <w:vAlign w:val="center"/>
                </w:tcPr>
                <w:p>
                  <w:pPr>
                    <w:jc w:val="center"/>
                    <w:rPr>
                      <w:sz w:val="18"/>
                      <w:szCs w:val="18"/>
                    </w:rPr>
                  </w:pPr>
                  <w:r>
                    <w:rPr>
                      <w:sz w:val="18"/>
                      <w:szCs w:val="18"/>
                    </w:rPr>
                    <w:t>JS0411OOI556-1</w:t>
                  </w:r>
                </w:p>
              </w:tc>
              <w:tc>
                <w:tcPr>
                  <w:tcW w:w="3994" w:type="dxa"/>
                  <w:noWrap w:val="0"/>
                  <w:tcMar>
                    <w:top w:w="0" w:type="dxa"/>
                    <w:left w:w="0" w:type="dxa"/>
                    <w:bottom w:w="0" w:type="dxa"/>
                    <w:right w:w="0" w:type="dxa"/>
                  </w:tcMar>
                  <w:vAlign w:val="center"/>
                </w:tcPr>
                <w:p>
                  <w:pPr>
                    <w:jc w:val="center"/>
                    <w:rPr>
                      <w:sz w:val="18"/>
                      <w:szCs w:val="18"/>
                    </w:rPr>
                  </w:pPr>
                  <w:r>
                    <w:rPr>
                      <w:sz w:val="18"/>
                      <w:szCs w:val="18"/>
                    </w:rPr>
                    <w:t>HW02医药废物，HW03废药物、药品，HW04农药废物，HW06废有机溶剂与含有机溶剂废物，HW07热处理含氰废物，HW08废矿物油与含矿物油废物，HW09油/水、烃/水混合物或乳化液，HW11精（蒸） 馏残渣，HW12染料、涂料废物，HW13有机树脂类废物，HW14新化学物 质废物，HW16感光材料废物，HW17表面处理废物，HW19含金属羰基化合物废物，HW34废酸，HW35废碱，HW37有机磷化合物废物，HW38有机氰化物废物，HW39含酚废物，HW40含醚废物，HW45含有机卤化物废物，HW49其他废物900-039-49，HW49其他废物900-041-49，HW49其他废物900-042-49，HW49其他废物900-046-49，HW49其他废物900-047-49，HW49其他废物900-999-49，HW50废催化剂261-151-50，HW50废催化剂261-183-50，HW50废催化剂263-013-50，HW50废催化剂276-006-50</w:t>
                  </w:r>
                </w:p>
                <w:p>
                  <w:pPr>
                    <w:jc w:val="center"/>
                    <w:rPr>
                      <w:sz w:val="18"/>
                      <w:szCs w:val="18"/>
                    </w:rPr>
                  </w:pPr>
                  <w:r>
                    <w:rPr>
                      <w:sz w:val="18"/>
                      <w:szCs w:val="18"/>
                    </w:rPr>
                    <w:t>合计：30000吨/年</w:t>
                  </w:r>
                </w:p>
              </w:tc>
            </w:tr>
          </w:tbl>
          <w:p>
            <w:pPr>
              <w:spacing w:line="480" w:lineRule="exact"/>
              <w:ind w:firstLine="420" w:firstLineChars="200"/>
              <w:rPr>
                <w:bCs/>
                <w:szCs w:val="21"/>
              </w:rPr>
            </w:pPr>
            <w:r>
              <w:rPr>
                <w:bCs/>
                <w:szCs w:val="21"/>
              </w:rPr>
              <w:t>由上表可知本项目所属区域内有一定数量的具备处理本项目所产生的危险废物能力的资质单位对本项目产生的各类危废进行有效处置。</w:t>
            </w:r>
          </w:p>
          <w:p>
            <w:pPr>
              <w:spacing w:line="480" w:lineRule="exact"/>
              <w:ind w:firstLine="420" w:firstLineChars="200"/>
              <w:rPr>
                <w:bCs/>
                <w:szCs w:val="21"/>
              </w:rPr>
            </w:pPr>
            <w:r>
              <w:rPr>
                <w:bCs/>
                <w:szCs w:val="21"/>
              </w:rPr>
              <w:t>本环评建议项目运营后尽快与危废处置单位联系，签订危险废物处置合同。上述危废处置单位均已经办理相关环评及“三同时”验收手续，根据其环评预测结果，正常运行情况下不会对周围环境造成大的影响。</w:t>
            </w:r>
          </w:p>
          <w:p>
            <w:pPr>
              <w:spacing w:line="480" w:lineRule="exact"/>
              <w:ind w:firstLine="420" w:firstLineChars="200"/>
              <w:rPr>
                <w:szCs w:val="21"/>
              </w:rPr>
            </w:pPr>
            <w:r>
              <w:rPr>
                <w:szCs w:val="21"/>
              </w:rPr>
              <w:t>本项目各类固体废物及其数量、处理处置情况见下表。</w:t>
            </w:r>
          </w:p>
          <w:p>
            <w:pPr>
              <w:spacing w:line="480" w:lineRule="exact"/>
              <w:jc w:val="center"/>
              <w:rPr>
                <w:b/>
                <w:bCs/>
                <w:kern w:val="0"/>
                <w:sz w:val="18"/>
                <w:szCs w:val="18"/>
              </w:rPr>
            </w:pPr>
            <w:r>
              <w:rPr>
                <w:b/>
                <w:bCs/>
                <w:kern w:val="0"/>
                <w:sz w:val="18"/>
                <w:szCs w:val="18"/>
              </w:rPr>
              <w:t>表4-29 本项目固体废物处置汇总表</w:t>
            </w:r>
          </w:p>
          <w:tbl>
            <w:tblPr>
              <w:tblStyle w:val="21"/>
              <w:tblW w:w="7939"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30"/>
              <w:gridCol w:w="600"/>
              <w:gridCol w:w="820"/>
              <w:gridCol w:w="610"/>
              <w:gridCol w:w="1110"/>
              <w:gridCol w:w="749"/>
              <w:gridCol w:w="1315"/>
              <w:gridCol w:w="96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37" w:type="dxa"/>
                  <w:noWrap w:val="0"/>
                  <w:vAlign w:val="center"/>
                </w:tcPr>
                <w:p>
                  <w:pPr>
                    <w:jc w:val="center"/>
                    <w:rPr>
                      <w:b/>
                      <w:sz w:val="18"/>
                      <w:szCs w:val="18"/>
                    </w:rPr>
                  </w:pPr>
                  <w:r>
                    <w:rPr>
                      <w:b/>
                      <w:bCs/>
                      <w:sz w:val="18"/>
                      <w:szCs w:val="18"/>
                    </w:rPr>
                    <w:t>序号</w:t>
                  </w:r>
                </w:p>
              </w:tc>
              <w:tc>
                <w:tcPr>
                  <w:tcW w:w="1130" w:type="dxa"/>
                  <w:noWrap w:val="0"/>
                  <w:vAlign w:val="center"/>
                </w:tcPr>
                <w:p>
                  <w:pPr>
                    <w:jc w:val="center"/>
                    <w:rPr>
                      <w:b/>
                      <w:sz w:val="18"/>
                      <w:szCs w:val="18"/>
                    </w:rPr>
                  </w:pPr>
                  <w:r>
                    <w:rPr>
                      <w:b/>
                      <w:bCs/>
                      <w:sz w:val="18"/>
                      <w:szCs w:val="18"/>
                    </w:rPr>
                    <w:t>固废名称</w:t>
                  </w:r>
                </w:p>
              </w:tc>
              <w:tc>
                <w:tcPr>
                  <w:tcW w:w="600" w:type="dxa"/>
                  <w:noWrap w:val="0"/>
                  <w:vAlign w:val="center"/>
                </w:tcPr>
                <w:p>
                  <w:pPr>
                    <w:jc w:val="center"/>
                    <w:rPr>
                      <w:b/>
                      <w:sz w:val="18"/>
                      <w:szCs w:val="18"/>
                    </w:rPr>
                  </w:pPr>
                  <w:r>
                    <w:rPr>
                      <w:b/>
                      <w:bCs/>
                      <w:sz w:val="18"/>
                      <w:szCs w:val="18"/>
                    </w:rPr>
                    <w:t>属性</w:t>
                  </w:r>
                </w:p>
              </w:tc>
              <w:tc>
                <w:tcPr>
                  <w:tcW w:w="820" w:type="dxa"/>
                  <w:noWrap w:val="0"/>
                  <w:vAlign w:val="center"/>
                </w:tcPr>
                <w:p>
                  <w:pPr>
                    <w:jc w:val="center"/>
                    <w:rPr>
                      <w:b/>
                      <w:bCs/>
                      <w:sz w:val="18"/>
                      <w:szCs w:val="18"/>
                    </w:rPr>
                  </w:pPr>
                  <w:r>
                    <w:rPr>
                      <w:b/>
                      <w:bCs/>
                      <w:sz w:val="18"/>
                      <w:szCs w:val="18"/>
                    </w:rPr>
                    <w:t>产生</w:t>
                  </w:r>
                </w:p>
                <w:p>
                  <w:pPr>
                    <w:jc w:val="center"/>
                    <w:rPr>
                      <w:b/>
                      <w:sz w:val="18"/>
                      <w:szCs w:val="18"/>
                    </w:rPr>
                  </w:pPr>
                  <w:r>
                    <w:rPr>
                      <w:b/>
                      <w:bCs/>
                      <w:sz w:val="18"/>
                      <w:szCs w:val="18"/>
                    </w:rPr>
                    <w:t>来源</w:t>
                  </w:r>
                </w:p>
              </w:tc>
              <w:tc>
                <w:tcPr>
                  <w:tcW w:w="610" w:type="dxa"/>
                  <w:noWrap w:val="0"/>
                  <w:vAlign w:val="center"/>
                </w:tcPr>
                <w:p>
                  <w:pPr>
                    <w:jc w:val="center"/>
                    <w:rPr>
                      <w:b/>
                      <w:sz w:val="18"/>
                      <w:szCs w:val="18"/>
                    </w:rPr>
                  </w:pPr>
                  <w:r>
                    <w:rPr>
                      <w:b/>
                      <w:bCs/>
                      <w:sz w:val="18"/>
                      <w:szCs w:val="18"/>
                    </w:rPr>
                    <w:t>形态</w:t>
                  </w:r>
                </w:p>
              </w:tc>
              <w:tc>
                <w:tcPr>
                  <w:tcW w:w="1110" w:type="dxa"/>
                  <w:noWrap w:val="0"/>
                  <w:vAlign w:val="center"/>
                </w:tcPr>
                <w:p>
                  <w:pPr>
                    <w:jc w:val="center"/>
                    <w:rPr>
                      <w:b/>
                      <w:bCs/>
                      <w:sz w:val="18"/>
                      <w:szCs w:val="18"/>
                    </w:rPr>
                  </w:pPr>
                  <w:r>
                    <w:rPr>
                      <w:b/>
                      <w:bCs/>
                      <w:sz w:val="18"/>
                      <w:szCs w:val="18"/>
                    </w:rPr>
                    <w:t>废物类别及代码</w:t>
                  </w:r>
                </w:p>
              </w:tc>
              <w:tc>
                <w:tcPr>
                  <w:tcW w:w="749" w:type="dxa"/>
                  <w:noWrap w:val="0"/>
                  <w:vAlign w:val="center"/>
                </w:tcPr>
                <w:p>
                  <w:pPr>
                    <w:jc w:val="center"/>
                    <w:rPr>
                      <w:b/>
                      <w:bCs/>
                      <w:sz w:val="18"/>
                      <w:szCs w:val="18"/>
                    </w:rPr>
                  </w:pPr>
                  <w:r>
                    <w:rPr>
                      <w:b/>
                      <w:bCs/>
                      <w:sz w:val="18"/>
                      <w:szCs w:val="18"/>
                    </w:rPr>
                    <w:t>产生量t/a</w:t>
                  </w:r>
                </w:p>
              </w:tc>
              <w:tc>
                <w:tcPr>
                  <w:tcW w:w="1315" w:type="dxa"/>
                  <w:noWrap w:val="0"/>
                  <w:vAlign w:val="center"/>
                </w:tcPr>
                <w:p>
                  <w:pPr>
                    <w:jc w:val="center"/>
                    <w:rPr>
                      <w:b/>
                      <w:bCs/>
                      <w:sz w:val="18"/>
                      <w:szCs w:val="18"/>
                    </w:rPr>
                  </w:pPr>
                  <w:r>
                    <w:rPr>
                      <w:b/>
                      <w:bCs/>
                      <w:sz w:val="18"/>
                      <w:szCs w:val="18"/>
                    </w:rPr>
                    <w:t>利用处置方式</w:t>
                  </w:r>
                </w:p>
              </w:tc>
              <w:tc>
                <w:tcPr>
                  <w:tcW w:w="968" w:type="dxa"/>
                  <w:noWrap w:val="0"/>
                  <w:vAlign w:val="center"/>
                </w:tcPr>
                <w:p>
                  <w:pPr>
                    <w:jc w:val="center"/>
                    <w:rPr>
                      <w:b/>
                      <w:bCs/>
                      <w:sz w:val="18"/>
                      <w:szCs w:val="18"/>
                    </w:rPr>
                  </w:pPr>
                  <w:r>
                    <w:rPr>
                      <w:b/>
                      <w:bCs/>
                      <w:sz w:val="18"/>
                      <w:szCs w:val="18"/>
                    </w:rPr>
                    <w:t>利用处置</w:t>
                  </w:r>
                </w:p>
                <w:p>
                  <w:pPr>
                    <w:jc w:val="center"/>
                    <w:rPr>
                      <w:b/>
                      <w:bCs/>
                      <w:sz w:val="18"/>
                      <w:szCs w:val="18"/>
                    </w:rPr>
                  </w:pPr>
                  <w:r>
                    <w:rPr>
                      <w:b/>
                      <w:bCs/>
                      <w:sz w:val="18"/>
                      <w:szCs w:val="18"/>
                    </w:rPr>
                    <w:t>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37" w:type="dxa"/>
                  <w:noWrap w:val="0"/>
                  <w:vAlign w:val="center"/>
                </w:tcPr>
                <w:p>
                  <w:pPr>
                    <w:pStyle w:val="32"/>
                    <w:jc w:val="center"/>
                    <w:rPr>
                      <w:sz w:val="18"/>
                      <w:szCs w:val="18"/>
                    </w:rPr>
                  </w:pPr>
                  <w:r>
                    <w:rPr>
                      <w:sz w:val="18"/>
                      <w:szCs w:val="18"/>
                    </w:rPr>
                    <w:t>1</w:t>
                  </w:r>
                </w:p>
              </w:tc>
              <w:tc>
                <w:tcPr>
                  <w:tcW w:w="1130" w:type="dxa"/>
                  <w:noWrap w:val="0"/>
                  <w:vAlign w:val="center"/>
                </w:tcPr>
                <w:p>
                  <w:pPr>
                    <w:pStyle w:val="32"/>
                    <w:jc w:val="center"/>
                    <w:rPr>
                      <w:sz w:val="18"/>
                      <w:szCs w:val="18"/>
                    </w:rPr>
                  </w:pPr>
                  <w:r>
                    <w:rPr>
                      <w:rFonts w:hint="eastAsia"/>
                      <w:sz w:val="18"/>
                      <w:szCs w:val="18"/>
                    </w:rPr>
                    <w:t>塑料不合格品及边角料</w:t>
                  </w:r>
                </w:p>
              </w:tc>
              <w:tc>
                <w:tcPr>
                  <w:tcW w:w="600" w:type="dxa"/>
                  <w:vMerge w:val="restart"/>
                  <w:noWrap w:val="0"/>
                  <w:vAlign w:val="center"/>
                </w:tcPr>
                <w:p>
                  <w:pPr>
                    <w:jc w:val="center"/>
                    <w:rPr>
                      <w:sz w:val="18"/>
                      <w:szCs w:val="18"/>
                    </w:rPr>
                  </w:pPr>
                  <w:r>
                    <w:rPr>
                      <w:sz w:val="18"/>
                      <w:szCs w:val="18"/>
                    </w:rPr>
                    <w:t>一般工业固废</w:t>
                  </w:r>
                </w:p>
              </w:tc>
              <w:tc>
                <w:tcPr>
                  <w:tcW w:w="820" w:type="dxa"/>
                  <w:noWrap w:val="0"/>
                  <w:vAlign w:val="center"/>
                </w:tcPr>
                <w:p>
                  <w:pPr>
                    <w:pStyle w:val="32"/>
                    <w:jc w:val="center"/>
                    <w:rPr>
                      <w:sz w:val="18"/>
                      <w:szCs w:val="18"/>
                    </w:rPr>
                  </w:pPr>
                  <w:r>
                    <w:rPr>
                      <w:rFonts w:hint="eastAsia"/>
                      <w:sz w:val="18"/>
                      <w:szCs w:val="18"/>
                      <w:lang w:val="en-US" w:eastAsia="zh-CN"/>
                    </w:rPr>
                    <w:t>制袋、烫袋、装袋</w:t>
                  </w:r>
                </w:p>
              </w:tc>
              <w:tc>
                <w:tcPr>
                  <w:tcW w:w="610" w:type="dxa"/>
                  <w:noWrap w:val="0"/>
                  <w:vAlign w:val="center"/>
                </w:tcPr>
                <w:p>
                  <w:pPr>
                    <w:pStyle w:val="32"/>
                    <w:jc w:val="center"/>
                    <w:rPr>
                      <w:sz w:val="18"/>
                      <w:szCs w:val="18"/>
                    </w:rPr>
                  </w:pPr>
                  <w:r>
                    <w:rPr>
                      <w:sz w:val="18"/>
                      <w:szCs w:val="18"/>
                    </w:rPr>
                    <w:t>固态</w:t>
                  </w:r>
                </w:p>
              </w:tc>
              <w:tc>
                <w:tcPr>
                  <w:tcW w:w="1110" w:type="dxa"/>
                  <w:noWrap w:val="0"/>
                  <w:vAlign w:val="center"/>
                </w:tcPr>
                <w:p>
                  <w:pPr>
                    <w:jc w:val="center"/>
                    <w:rPr>
                      <w:rFonts w:hint="eastAsia"/>
                      <w:sz w:val="18"/>
                      <w:szCs w:val="18"/>
                      <w:lang w:val="en-US" w:eastAsia="zh-CN"/>
                    </w:rPr>
                  </w:pPr>
                  <w:r>
                    <w:rPr>
                      <w:rFonts w:hint="eastAsia"/>
                      <w:sz w:val="18"/>
                      <w:szCs w:val="18"/>
                      <w:lang w:val="en-US" w:eastAsia="zh-CN"/>
                    </w:rPr>
                    <w:t>SW17</w:t>
                  </w:r>
                </w:p>
                <w:p>
                  <w:pPr>
                    <w:jc w:val="center"/>
                    <w:rPr>
                      <w:sz w:val="18"/>
                      <w:szCs w:val="18"/>
                    </w:rPr>
                  </w:pPr>
                  <w:r>
                    <w:rPr>
                      <w:rFonts w:hint="eastAsia"/>
                      <w:sz w:val="18"/>
                      <w:szCs w:val="18"/>
                    </w:rPr>
                    <w:t xml:space="preserve">900-003-S17 </w:t>
                  </w:r>
                </w:p>
              </w:tc>
              <w:tc>
                <w:tcPr>
                  <w:tcW w:w="749" w:type="dxa"/>
                  <w:noWrap w:val="0"/>
                  <w:vAlign w:val="center"/>
                </w:tcPr>
                <w:p>
                  <w:pPr>
                    <w:pStyle w:val="32"/>
                    <w:jc w:val="center"/>
                    <w:rPr>
                      <w:rFonts w:hint="eastAsia"/>
                      <w:sz w:val="18"/>
                      <w:szCs w:val="18"/>
                    </w:rPr>
                  </w:pPr>
                  <w:r>
                    <w:rPr>
                      <w:rFonts w:hint="eastAsia"/>
                      <w:sz w:val="18"/>
                      <w:szCs w:val="18"/>
                      <w:lang w:val="en-US" w:eastAsia="zh-CN"/>
                    </w:rPr>
                    <w:t>1</w:t>
                  </w:r>
                </w:p>
              </w:tc>
              <w:tc>
                <w:tcPr>
                  <w:tcW w:w="1315" w:type="dxa"/>
                  <w:noWrap w:val="0"/>
                  <w:vAlign w:val="center"/>
                </w:tcPr>
                <w:p>
                  <w:pPr>
                    <w:pStyle w:val="32"/>
                    <w:jc w:val="center"/>
                    <w:rPr>
                      <w:sz w:val="18"/>
                      <w:szCs w:val="18"/>
                    </w:rPr>
                  </w:pPr>
                  <w:r>
                    <w:rPr>
                      <w:sz w:val="18"/>
                      <w:szCs w:val="18"/>
                    </w:rPr>
                    <w:t>外售综合利用</w:t>
                  </w:r>
                </w:p>
              </w:tc>
              <w:tc>
                <w:tcPr>
                  <w:tcW w:w="968" w:type="dxa"/>
                  <w:noWrap w:val="0"/>
                  <w:vAlign w:val="center"/>
                </w:tcPr>
                <w:p>
                  <w:pPr>
                    <w:pStyle w:val="32"/>
                    <w:jc w:val="center"/>
                    <w:rPr>
                      <w:sz w:val="18"/>
                      <w:szCs w:val="18"/>
                    </w:rPr>
                  </w:pPr>
                  <w:r>
                    <w:rPr>
                      <w:sz w:val="18"/>
                      <w:szCs w:val="18"/>
                    </w:rPr>
                    <w:t>综合利用单位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37" w:type="dxa"/>
                  <w:noWrap w:val="0"/>
                  <w:vAlign w:val="center"/>
                </w:tcPr>
                <w:p>
                  <w:pPr>
                    <w:pStyle w:val="32"/>
                    <w:jc w:val="center"/>
                    <w:rPr>
                      <w:sz w:val="18"/>
                      <w:szCs w:val="18"/>
                    </w:rPr>
                  </w:pPr>
                  <w:r>
                    <w:rPr>
                      <w:sz w:val="18"/>
                      <w:szCs w:val="18"/>
                    </w:rPr>
                    <w:t>2</w:t>
                  </w:r>
                </w:p>
              </w:tc>
              <w:tc>
                <w:tcPr>
                  <w:tcW w:w="1130" w:type="dxa"/>
                  <w:noWrap w:val="0"/>
                  <w:vAlign w:val="center"/>
                </w:tcPr>
                <w:p>
                  <w:pPr>
                    <w:pStyle w:val="32"/>
                    <w:jc w:val="center"/>
                    <w:rPr>
                      <w:sz w:val="18"/>
                      <w:szCs w:val="18"/>
                    </w:rPr>
                  </w:pPr>
                  <w:r>
                    <w:rPr>
                      <w:sz w:val="18"/>
                      <w:szCs w:val="18"/>
                    </w:rPr>
                    <w:t>废包装材料</w:t>
                  </w:r>
                </w:p>
              </w:tc>
              <w:tc>
                <w:tcPr>
                  <w:tcW w:w="600" w:type="dxa"/>
                  <w:vMerge w:val="continue"/>
                  <w:noWrap w:val="0"/>
                  <w:vAlign w:val="center"/>
                </w:tcPr>
                <w:p>
                  <w:pPr>
                    <w:jc w:val="center"/>
                    <w:rPr>
                      <w:sz w:val="18"/>
                      <w:szCs w:val="18"/>
                    </w:rPr>
                  </w:pPr>
                </w:p>
              </w:tc>
              <w:tc>
                <w:tcPr>
                  <w:tcW w:w="820" w:type="dxa"/>
                  <w:noWrap w:val="0"/>
                  <w:vAlign w:val="center"/>
                </w:tcPr>
                <w:p>
                  <w:pPr>
                    <w:pStyle w:val="32"/>
                    <w:jc w:val="center"/>
                    <w:rPr>
                      <w:sz w:val="18"/>
                      <w:szCs w:val="18"/>
                    </w:rPr>
                  </w:pPr>
                  <w:r>
                    <w:rPr>
                      <w:sz w:val="18"/>
                      <w:szCs w:val="18"/>
                    </w:rPr>
                    <w:t>原辅料拆包</w:t>
                  </w:r>
                </w:p>
              </w:tc>
              <w:tc>
                <w:tcPr>
                  <w:tcW w:w="610" w:type="dxa"/>
                  <w:noWrap w:val="0"/>
                  <w:vAlign w:val="center"/>
                </w:tcPr>
                <w:p>
                  <w:pPr>
                    <w:pStyle w:val="32"/>
                    <w:jc w:val="center"/>
                    <w:rPr>
                      <w:sz w:val="18"/>
                      <w:szCs w:val="18"/>
                    </w:rPr>
                  </w:pPr>
                  <w:r>
                    <w:rPr>
                      <w:sz w:val="18"/>
                      <w:szCs w:val="18"/>
                    </w:rPr>
                    <w:t>固态</w:t>
                  </w:r>
                </w:p>
              </w:tc>
              <w:tc>
                <w:tcPr>
                  <w:tcW w:w="1110" w:type="dxa"/>
                  <w:noWrap w:val="0"/>
                  <w:vAlign w:val="center"/>
                </w:tcPr>
                <w:p>
                  <w:pPr>
                    <w:jc w:val="center"/>
                    <w:rPr>
                      <w:rFonts w:hint="eastAsia"/>
                      <w:sz w:val="18"/>
                      <w:szCs w:val="18"/>
                      <w:lang w:val="en-US" w:eastAsia="zh-CN"/>
                    </w:rPr>
                  </w:pPr>
                  <w:r>
                    <w:rPr>
                      <w:rFonts w:hint="eastAsia"/>
                      <w:sz w:val="18"/>
                      <w:szCs w:val="18"/>
                      <w:lang w:val="en-US" w:eastAsia="zh-CN"/>
                    </w:rPr>
                    <w:t>SW17</w:t>
                  </w:r>
                </w:p>
                <w:p>
                  <w:pPr>
                    <w:jc w:val="center"/>
                    <w:rPr>
                      <w:sz w:val="18"/>
                      <w:szCs w:val="18"/>
                    </w:rPr>
                  </w:pPr>
                  <w:r>
                    <w:rPr>
                      <w:rFonts w:hint="eastAsia"/>
                      <w:sz w:val="18"/>
                      <w:szCs w:val="18"/>
                    </w:rPr>
                    <w:t>900-003-S17</w:t>
                  </w:r>
                </w:p>
              </w:tc>
              <w:tc>
                <w:tcPr>
                  <w:tcW w:w="749" w:type="dxa"/>
                  <w:noWrap w:val="0"/>
                  <w:vAlign w:val="center"/>
                </w:tcPr>
                <w:p>
                  <w:pPr>
                    <w:pStyle w:val="32"/>
                    <w:jc w:val="center"/>
                    <w:rPr>
                      <w:sz w:val="18"/>
                      <w:szCs w:val="18"/>
                    </w:rPr>
                  </w:pPr>
                  <w:r>
                    <w:rPr>
                      <w:rFonts w:hint="eastAsia"/>
                      <w:sz w:val="18"/>
                      <w:szCs w:val="18"/>
                      <w:lang w:val="en-US" w:eastAsia="zh-CN"/>
                    </w:rPr>
                    <w:t>0.5</w:t>
                  </w:r>
                </w:p>
              </w:tc>
              <w:tc>
                <w:tcPr>
                  <w:tcW w:w="1315" w:type="dxa"/>
                  <w:noWrap w:val="0"/>
                  <w:vAlign w:val="center"/>
                </w:tcPr>
                <w:p>
                  <w:pPr>
                    <w:pStyle w:val="32"/>
                    <w:jc w:val="center"/>
                    <w:rPr>
                      <w:sz w:val="18"/>
                      <w:szCs w:val="18"/>
                    </w:rPr>
                  </w:pPr>
                  <w:r>
                    <w:rPr>
                      <w:sz w:val="18"/>
                      <w:szCs w:val="18"/>
                    </w:rPr>
                    <w:t>外售综合利用</w:t>
                  </w:r>
                </w:p>
              </w:tc>
              <w:tc>
                <w:tcPr>
                  <w:tcW w:w="968" w:type="dxa"/>
                  <w:noWrap w:val="0"/>
                  <w:vAlign w:val="center"/>
                </w:tcPr>
                <w:p>
                  <w:pPr>
                    <w:pStyle w:val="32"/>
                    <w:jc w:val="center"/>
                    <w:rPr>
                      <w:sz w:val="18"/>
                      <w:szCs w:val="18"/>
                    </w:rPr>
                  </w:pPr>
                  <w:r>
                    <w:rPr>
                      <w:sz w:val="18"/>
                      <w:szCs w:val="18"/>
                    </w:rPr>
                    <w:t>综合利用单位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37" w:type="dxa"/>
                  <w:noWrap w:val="0"/>
                  <w:vAlign w:val="center"/>
                </w:tcPr>
                <w:p>
                  <w:pPr>
                    <w:pStyle w:val="32"/>
                    <w:jc w:val="center"/>
                    <w:rPr>
                      <w:rFonts w:hint="eastAsia" w:eastAsia="宋体"/>
                      <w:sz w:val="18"/>
                      <w:szCs w:val="18"/>
                      <w:lang w:eastAsia="zh-CN"/>
                    </w:rPr>
                  </w:pPr>
                  <w:r>
                    <w:rPr>
                      <w:rFonts w:hint="eastAsia"/>
                      <w:sz w:val="18"/>
                      <w:szCs w:val="18"/>
                      <w:lang w:val="en-US" w:eastAsia="zh-CN"/>
                    </w:rPr>
                    <w:t>3</w:t>
                  </w:r>
                </w:p>
              </w:tc>
              <w:tc>
                <w:tcPr>
                  <w:tcW w:w="1130" w:type="dxa"/>
                  <w:noWrap w:val="0"/>
                  <w:vAlign w:val="center"/>
                </w:tcPr>
                <w:p>
                  <w:pPr>
                    <w:pStyle w:val="32"/>
                    <w:jc w:val="center"/>
                    <w:rPr>
                      <w:rFonts w:hint="eastAsia" w:eastAsia="宋体"/>
                      <w:sz w:val="18"/>
                      <w:szCs w:val="18"/>
                      <w:lang w:eastAsia="zh-CN"/>
                    </w:rPr>
                  </w:pPr>
                  <w:r>
                    <w:rPr>
                      <w:sz w:val="18"/>
                      <w:szCs w:val="18"/>
                    </w:rPr>
                    <w:t>废活性炭</w:t>
                  </w:r>
                </w:p>
              </w:tc>
              <w:tc>
                <w:tcPr>
                  <w:tcW w:w="600" w:type="dxa"/>
                  <w:noWrap w:val="0"/>
                  <w:vAlign w:val="center"/>
                </w:tcPr>
                <w:p>
                  <w:pPr>
                    <w:jc w:val="center"/>
                    <w:rPr>
                      <w:sz w:val="18"/>
                      <w:szCs w:val="18"/>
                    </w:rPr>
                  </w:pPr>
                  <w:r>
                    <w:rPr>
                      <w:sz w:val="18"/>
                      <w:szCs w:val="18"/>
                    </w:rPr>
                    <w:t>危险</w:t>
                  </w:r>
                </w:p>
                <w:p>
                  <w:pPr>
                    <w:jc w:val="center"/>
                    <w:rPr>
                      <w:sz w:val="18"/>
                      <w:szCs w:val="18"/>
                    </w:rPr>
                  </w:pPr>
                  <w:r>
                    <w:rPr>
                      <w:sz w:val="18"/>
                      <w:szCs w:val="18"/>
                    </w:rPr>
                    <w:t>废物</w:t>
                  </w:r>
                </w:p>
                <w:p>
                  <w:pPr>
                    <w:jc w:val="center"/>
                    <w:rPr>
                      <w:sz w:val="18"/>
                      <w:szCs w:val="18"/>
                    </w:rPr>
                  </w:pPr>
                </w:p>
              </w:tc>
              <w:tc>
                <w:tcPr>
                  <w:tcW w:w="820" w:type="dxa"/>
                  <w:noWrap w:val="0"/>
                  <w:vAlign w:val="center"/>
                </w:tcPr>
                <w:p>
                  <w:pPr>
                    <w:pStyle w:val="32"/>
                    <w:jc w:val="center"/>
                    <w:rPr>
                      <w:sz w:val="18"/>
                      <w:szCs w:val="18"/>
                    </w:rPr>
                  </w:pPr>
                  <w:r>
                    <w:rPr>
                      <w:sz w:val="18"/>
                      <w:szCs w:val="18"/>
                    </w:rPr>
                    <w:t>废气处理</w:t>
                  </w:r>
                </w:p>
              </w:tc>
              <w:tc>
                <w:tcPr>
                  <w:tcW w:w="610" w:type="dxa"/>
                  <w:noWrap w:val="0"/>
                  <w:vAlign w:val="center"/>
                </w:tcPr>
                <w:p>
                  <w:pPr>
                    <w:pStyle w:val="32"/>
                    <w:jc w:val="center"/>
                    <w:rPr>
                      <w:sz w:val="18"/>
                      <w:szCs w:val="18"/>
                    </w:rPr>
                  </w:pPr>
                  <w:r>
                    <w:rPr>
                      <w:sz w:val="18"/>
                      <w:szCs w:val="18"/>
                    </w:rPr>
                    <w:t>固态</w:t>
                  </w:r>
                </w:p>
              </w:tc>
              <w:tc>
                <w:tcPr>
                  <w:tcW w:w="1110" w:type="dxa"/>
                  <w:noWrap w:val="0"/>
                  <w:vAlign w:val="center"/>
                </w:tcPr>
                <w:p>
                  <w:pPr>
                    <w:jc w:val="center"/>
                    <w:rPr>
                      <w:sz w:val="18"/>
                      <w:szCs w:val="18"/>
                    </w:rPr>
                  </w:pPr>
                  <w:r>
                    <w:rPr>
                      <w:sz w:val="18"/>
                      <w:szCs w:val="18"/>
                    </w:rPr>
                    <w:t>HW49</w:t>
                  </w:r>
                </w:p>
                <w:p>
                  <w:pPr>
                    <w:jc w:val="center"/>
                    <w:rPr>
                      <w:sz w:val="18"/>
                      <w:szCs w:val="18"/>
                    </w:rPr>
                  </w:pPr>
                  <w:r>
                    <w:rPr>
                      <w:sz w:val="18"/>
                      <w:szCs w:val="18"/>
                    </w:rPr>
                    <w:t>900-039-49</w:t>
                  </w:r>
                </w:p>
              </w:tc>
              <w:tc>
                <w:tcPr>
                  <w:tcW w:w="749" w:type="dxa"/>
                  <w:noWrap w:val="0"/>
                  <w:vAlign w:val="center"/>
                </w:tcPr>
                <w:p>
                  <w:pPr>
                    <w:pStyle w:val="32"/>
                    <w:jc w:val="center"/>
                    <w:rPr>
                      <w:sz w:val="18"/>
                      <w:szCs w:val="18"/>
                    </w:rPr>
                  </w:pPr>
                  <w:r>
                    <w:rPr>
                      <w:rFonts w:hint="eastAsia"/>
                      <w:sz w:val="18"/>
                      <w:szCs w:val="18"/>
                      <w:lang w:val="en-US" w:eastAsia="zh-CN"/>
                    </w:rPr>
                    <w:t>1.114</w:t>
                  </w:r>
                </w:p>
              </w:tc>
              <w:tc>
                <w:tcPr>
                  <w:tcW w:w="1315" w:type="dxa"/>
                  <w:noWrap w:val="0"/>
                  <w:vAlign w:val="center"/>
                </w:tcPr>
                <w:p>
                  <w:pPr>
                    <w:pStyle w:val="32"/>
                    <w:jc w:val="center"/>
                    <w:rPr>
                      <w:sz w:val="18"/>
                      <w:szCs w:val="18"/>
                    </w:rPr>
                  </w:pPr>
                  <w:r>
                    <w:rPr>
                      <w:sz w:val="18"/>
                      <w:szCs w:val="18"/>
                    </w:rPr>
                    <w:t>委托有资质单位处置</w:t>
                  </w:r>
                </w:p>
              </w:tc>
              <w:tc>
                <w:tcPr>
                  <w:tcW w:w="968" w:type="dxa"/>
                  <w:noWrap w:val="0"/>
                  <w:vAlign w:val="center"/>
                </w:tcPr>
                <w:p>
                  <w:pPr>
                    <w:pStyle w:val="32"/>
                    <w:jc w:val="center"/>
                    <w:rPr>
                      <w:sz w:val="18"/>
                      <w:szCs w:val="18"/>
                    </w:rPr>
                  </w:pPr>
                  <w:r>
                    <w:rPr>
                      <w:sz w:val="18"/>
                      <w:szCs w:val="18"/>
                    </w:rPr>
                    <w:t>有资质处置单位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37" w:type="dxa"/>
                  <w:noWrap w:val="0"/>
                  <w:vAlign w:val="center"/>
                </w:tcPr>
                <w:p>
                  <w:pPr>
                    <w:pStyle w:val="32"/>
                    <w:jc w:val="center"/>
                    <w:rPr>
                      <w:rFonts w:hint="eastAsia" w:eastAsia="宋体"/>
                      <w:sz w:val="18"/>
                      <w:szCs w:val="18"/>
                      <w:lang w:eastAsia="zh-CN"/>
                    </w:rPr>
                  </w:pPr>
                  <w:r>
                    <w:rPr>
                      <w:rFonts w:hint="eastAsia"/>
                      <w:sz w:val="18"/>
                      <w:szCs w:val="18"/>
                      <w:lang w:val="en-US" w:eastAsia="zh-CN"/>
                    </w:rPr>
                    <w:t>4</w:t>
                  </w:r>
                </w:p>
              </w:tc>
              <w:tc>
                <w:tcPr>
                  <w:tcW w:w="1130" w:type="dxa"/>
                  <w:noWrap w:val="0"/>
                  <w:vAlign w:val="center"/>
                </w:tcPr>
                <w:p>
                  <w:pPr>
                    <w:pStyle w:val="32"/>
                    <w:jc w:val="center"/>
                    <w:rPr>
                      <w:sz w:val="18"/>
                      <w:szCs w:val="18"/>
                    </w:rPr>
                  </w:pPr>
                  <w:r>
                    <w:rPr>
                      <w:sz w:val="18"/>
                      <w:szCs w:val="18"/>
                    </w:rPr>
                    <w:t>生活垃圾</w:t>
                  </w:r>
                </w:p>
              </w:tc>
              <w:tc>
                <w:tcPr>
                  <w:tcW w:w="600" w:type="dxa"/>
                  <w:noWrap w:val="0"/>
                  <w:vAlign w:val="center"/>
                </w:tcPr>
                <w:p>
                  <w:pPr>
                    <w:jc w:val="center"/>
                    <w:rPr>
                      <w:sz w:val="18"/>
                      <w:szCs w:val="18"/>
                    </w:rPr>
                  </w:pPr>
                  <w:r>
                    <w:rPr>
                      <w:sz w:val="18"/>
                      <w:szCs w:val="18"/>
                    </w:rPr>
                    <w:t>生活垃圾</w:t>
                  </w:r>
                </w:p>
              </w:tc>
              <w:tc>
                <w:tcPr>
                  <w:tcW w:w="820" w:type="dxa"/>
                  <w:noWrap w:val="0"/>
                  <w:vAlign w:val="center"/>
                </w:tcPr>
                <w:p>
                  <w:pPr>
                    <w:pStyle w:val="32"/>
                    <w:jc w:val="center"/>
                    <w:rPr>
                      <w:sz w:val="18"/>
                      <w:szCs w:val="18"/>
                    </w:rPr>
                  </w:pPr>
                  <w:r>
                    <w:rPr>
                      <w:sz w:val="18"/>
                      <w:szCs w:val="18"/>
                    </w:rPr>
                    <w:t>办公生活</w:t>
                  </w:r>
                </w:p>
              </w:tc>
              <w:tc>
                <w:tcPr>
                  <w:tcW w:w="610" w:type="dxa"/>
                  <w:noWrap w:val="0"/>
                  <w:vAlign w:val="center"/>
                </w:tcPr>
                <w:p>
                  <w:pPr>
                    <w:pStyle w:val="32"/>
                    <w:jc w:val="center"/>
                    <w:rPr>
                      <w:sz w:val="18"/>
                      <w:szCs w:val="18"/>
                    </w:rPr>
                  </w:pPr>
                  <w:r>
                    <w:rPr>
                      <w:sz w:val="18"/>
                      <w:szCs w:val="18"/>
                    </w:rPr>
                    <w:t>固态</w:t>
                  </w:r>
                </w:p>
              </w:tc>
              <w:tc>
                <w:tcPr>
                  <w:tcW w:w="1110" w:type="dxa"/>
                  <w:noWrap w:val="0"/>
                  <w:vAlign w:val="center"/>
                </w:tcPr>
                <w:p>
                  <w:pPr>
                    <w:jc w:val="center"/>
                    <w:rPr>
                      <w:sz w:val="18"/>
                      <w:szCs w:val="18"/>
                    </w:rPr>
                  </w:pPr>
                  <w:r>
                    <w:rPr>
                      <w:sz w:val="18"/>
                      <w:szCs w:val="18"/>
                    </w:rPr>
                    <w:t>/</w:t>
                  </w:r>
                </w:p>
              </w:tc>
              <w:tc>
                <w:tcPr>
                  <w:tcW w:w="749" w:type="dxa"/>
                  <w:noWrap w:val="0"/>
                  <w:vAlign w:val="center"/>
                </w:tcPr>
                <w:p>
                  <w:pPr>
                    <w:pStyle w:val="32"/>
                    <w:jc w:val="center"/>
                    <w:rPr>
                      <w:sz w:val="18"/>
                      <w:szCs w:val="18"/>
                    </w:rPr>
                  </w:pPr>
                  <w:r>
                    <w:rPr>
                      <w:rFonts w:hint="eastAsia"/>
                      <w:sz w:val="18"/>
                      <w:szCs w:val="18"/>
                      <w:lang w:val="en-US" w:eastAsia="zh-CN"/>
                    </w:rPr>
                    <w:t>2.4</w:t>
                  </w:r>
                </w:p>
              </w:tc>
              <w:tc>
                <w:tcPr>
                  <w:tcW w:w="1315" w:type="dxa"/>
                  <w:noWrap w:val="0"/>
                  <w:vAlign w:val="center"/>
                </w:tcPr>
                <w:p>
                  <w:pPr>
                    <w:pStyle w:val="32"/>
                    <w:jc w:val="center"/>
                    <w:rPr>
                      <w:sz w:val="18"/>
                      <w:szCs w:val="18"/>
                    </w:rPr>
                  </w:pPr>
                  <w:r>
                    <w:rPr>
                      <w:sz w:val="18"/>
                      <w:szCs w:val="18"/>
                    </w:rPr>
                    <w:t>环卫部门清运</w:t>
                  </w:r>
                </w:p>
              </w:tc>
              <w:tc>
                <w:tcPr>
                  <w:tcW w:w="968" w:type="dxa"/>
                  <w:noWrap w:val="0"/>
                  <w:vAlign w:val="center"/>
                </w:tcPr>
                <w:p>
                  <w:pPr>
                    <w:pStyle w:val="32"/>
                    <w:jc w:val="center"/>
                    <w:rPr>
                      <w:sz w:val="18"/>
                      <w:szCs w:val="18"/>
                    </w:rPr>
                  </w:pPr>
                  <w:r>
                    <w:rPr>
                      <w:sz w:val="18"/>
                      <w:szCs w:val="18"/>
                    </w:rPr>
                    <w:t>环卫部门</w:t>
                  </w:r>
                </w:p>
              </w:tc>
            </w:tr>
          </w:tbl>
          <w:p>
            <w:pPr>
              <w:spacing w:line="480" w:lineRule="exact"/>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五、环境风险评价</w:t>
            </w:r>
          </w:p>
          <w:p>
            <w:pPr>
              <w:spacing w:line="480" w:lineRule="exact"/>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 xml:space="preserve">1、评价依据 </w:t>
            </w:r>
          </w:p>
          <w:p>
            <w:pPr>
              <w:widowControl/>
              <w:spacing w:line="480" w:lineRule="exact"/>
              <w:ind w:firstLine="420" w:firstLineChars="200"/>
              <w:jc w:val="left"/>
              <w:rPr>
                <w:szCs w:val="21"/>
              </w:rPr>
            </w:pPr>
            <w:r>
              <w:rPr>
                <w:bCs/>
                <w:color w:val="000000" w:themeColor="text1"/>
                <w:szCs w:val="21"/>
                <w14:textFill>
                  <w14:solidFill>
                    <w14:schemeClr w14:val="tx1"/>
                  </w14:solidFill>
                </w14:textFill>
              </w:rPr>
              <w:t>环境风险评价是对项目建设和运营期间发生的可预测突发事件（一般不包括人为破坏和自然灾害）或事故引起有毒有害、易燃易爆等物质</w:t>
            </w:r>
            <w:r>
              <w:rPr>
                <w:rFonts w:hint="eastAsia"/>
                <w:bCs/>
                <w:color w:val="000000" w:themeColor="text1"/>
                <w:szCs w:val="21"/>
                <w:lang w:eastAsia="zh-CN"/>
                <w14:textFill>
                  <w14:solidFill>
                    <w14:schemeClr w14:val="tx1"/>
                  </w14:solidFill>
                </w14:textFill>
              </w:rPr>
              <w:t>泄漏</w:t>
            </w:r>
            <w:r>
              <w:rPr>
                <w:bCs/>
                <w:color w:val="000000" w:themeColor="text1"/>
                <w:szCs w:val="21"/>
                <w14:textFill>
                  <w14:solidFill>
                    <w14:schemeClr w14:val="tx1"/>
                  </w14:solidFill>
                </w14:textFill>
              </w:rPr>
              <w:t>，或突发</w:t>
            </w:r>
            <w:r>
              <w:rPr>
                <w:color w:val="000000" w:themeColor="text1"/>
                <w:kern w:val="0"/>
                <w:szCs w:val="21"/>
                <w:lang w:bidi="ar"/>
                <w14:textFill>
                  <w14:solidFill>
                    <w14:schemeClr w14:val="tx1"/>
                  </w14:solidFill>
                </w14:textFill>
              </w:rPr>
              <w:t>事件产生的新的有毒有害物质，所造成的人身安全和</w:t>
            </w:r>
            <w:r>
              <w:rPr>
                <w:kern w:val="0"/>
                <w:szCs w:val="21"/>
                <w:lang w:bidi="ar"/>
              </w:rPr>
              <w:t xml:space="preserve">环境的影响进行评估，并提出防范、应急与缓解措施。 </w:t>
            </w:r>
          </w:p>
          <w:p>
            <w:pPr>
              <w:widowControl/>
              <w:spacing w:line="480" w:lineRule="exact"/>
              <w:ind w:firstLine="420" w:firstLineChars="200"/>
              <w:jc w:val="left"/>
              <w:rPr>
                <w:szCs w:val="21"/>
              </w:rPr>
            </w:pPr>
            <w:r>
              <w:rPr>
                <w:kern w:val="0"/>
                <w:szCs w:val="21"/>
                <w:lang w:bidi="ar"/>
              </w:rPr>
              <w:t>环境风险评价的目的是分析和预测建设项目存在的潜在危险、有害因素，建设项目建设和运行期间可能发生的突发性事件或事故（一般不包括人为破坏和自然灾害），引起有毒有害和易燃易爆等物质</w:t>
            </w:r>
            <w:r>
              <w:rPr>
                <w:rFonts w:hint="eastAsia"/>
                <w:kern w:val="0"/>
                <w:szCs w:val="21"/>
                <w:lang w:eastAsia="zh-CN" w:bidi="ar"/>
              </w:rPr>
              <w:t>泄漏</w:t>
            </w:r>
            <w:r>
              <w:rPr>
                <w:kern w:val="0"/>
                <w:szCs w:val="21"/>
                <w:lang w:bidi="ar"/>
              </w:rPr>
              <w:t xml:space="preserve">所造成的人身安全与环境影响和损害程度，提出合理可行的防范、应急与减缓措施，以使建设项目事故率、损失和环境影响达到可接受水平。 </w:t>
            </w:r>
          </w:p>
          <w:p>
            <w:pPr>
              <w:widowControl/>
              <w:spacing w:line="480" w:lineRule="exact"/>
              <w:ind w:firstLine="420" w:firstLineChars="200"/>
              <w:jc w:val="left"/>
              <w:rPr>
                <w:szCs w:val="21"/>
              </w:rPr>
            </w:pPr>
            <w:r>
              <w:rPr>
                <w:kern w:val="0"/>
                <w:szCs w:val="21"/>
                <w:lang w:bidi="ar"/>
              </w:rPr>
              <w:t>根据《关于进一步加强环境影响评价管理防范环境风险的通知》（国环发</w:t>
            </w:r>
            <w:r>
              <w:rPr>
                <w:bCs/>
                <w:szCs w:val="21"/>
              </w:rPr>
              <w:t>〔2012〕</w:t>
            </w:r>
            <w:r>
              <w:rPr>
                <w:kern w:val="0"/>
                <w:szCs w:val="21"/>
                <w:lang w:bidi="ar"/>
              </w:rPr>
              <w:t xml:space="preserve">77号）精神，本次环境风险评价拟按照“风险评价原则”的要求，通过分析入区项目中主要物料的危险性、毒性和储存使用量，确定评价等级，识别潜在危险，并就最大可信事故的概率和发生后果进行影响预测。本次环境风险评价着重评价事故引起厂界外人群的伤害、环境质量的恶化及对生态系统影响的预测和防护。 </w:t>
            </w:r>
          </w:p>
          <w:p>
            <w:pPr>
              <w:widowControl/>
              <w:spacing w:line="480" w:lineRule="exact"/>
              <w:ind w:firstLine="420" w:firstLineChars="200"/>
              <w:jc w:val="left"/>
              <w:rPr>
                <w:szCs w:val="21"/>
              </w:rPr>
            </w:pPr>
            <w:r>
              <w:rPr>
                <w:kern w:val="0"/>
                <w:szCs w:val="21"/>
                <w:lang w:bidi="ar"/>
              </w:rPr>
              <w:t>2、环境风险潜势初判</w:t>
            </w:r>
          </w:p>
          <w:p>
            <w:pPr>
              <w:widowControl/>
              <w:spacing w:line="480" w:lineRule="exact"/>
              <w:ind w:firstLine="420" w:firstLineChars="200"/>
              <w:jc w:val="left"/>
              <w:rPr>
                <w:kern w:val="0"/>
                <w:szCs w:val="21"/>
                <w:lang w:bidi="ar"/>
              </w:rPr>
            </w:pPr>
            <w:r>
              <w:rPr>
                <w:kern w:val="0"/>
                <w:szCs w:val="21"/>
                <w:lang w:bidi="ar"/>
              </w:rPr>
              <w:t>（1）危险物质数量与临界量比值（Q）</w:t>
            </w:r>
          </w:p>
          <w:p>
            <w:pPr>
              <w:widowControl/>
              <w:spacing w:line="480" w:lineRule="exact"/>
              <w:ind w:firstLine="420" w:firstLineChars="200"/>
              <w:jc w:val="left"/>
              <w:rPr>
                <w:szCs w:val="21"/>
              </w:rPr>
            </w:pPr>
            <w:r>
              <w:rPr>
                <w:kern w:val="0"/>
                <w:szCs w:val="21"/>
                <w:lang w:bidi="ar"/>
              </w:rPr>
              <w:t>根据《建设项目环境风险评价技术导则》（HJ 169-2018）附表B、风险导则里未列入的部分参照《化学品分类和标签规范 第18部分 急性毒性》（GB30000.18-2013）、危险化学品重大危险源辨识（GB18218-2018）临界量，项目涉及的主要危险物质存储情况见表4-30，本项目Q值计算见表4-31。</w:t>
            </w:r>
          </w:p>
          <w:p>
            <w:pPr>
              <w:pStyle w:val="32"/>
              <w:widowControl/>
              <w:tabs>
                <w:tab w:val="left" w:pos="1786"/>
              </w:tabs>
              <w:spacing w:line="480" w:lineRule="exact"/>
              <w:jc w:val="center"/>
              <w:rPr>
                <w:b/>
                <w:bCs/>
                <w:kern w:val="0"/>
                <w:sz w:val="18"/>
                <w:szCs w:val="18"/>
              </w:rPr>
            </w:pPr>
            <w:r>
              <w:rPr>
                <w:b/>
                <w:bCs/>
                <w:kern w:val="0"/>
                <w:sz w:val="18"/>
                <w:szCs w:val="18"/>
              </w:rPr>
              <w:t>表4-30  环境风险物质存储情况</w:t>
            </w:r>
          </w:p>
          <w:tbl>
            <w:tblPr>
              <w:tblStyle w:val="21"/>
              <w:tblW w:w="7942" w:type="dxa"/>
              <w:jc w:val="center"/>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13"/>
              <w:gridCol w:w="1123"/>
              <w:gridCol w:w="1719"/>
              <w:gridCol w:w="1252"/>
              <w:gridCol w:w="1009"/>
              <w:gridCol w:w="980"/>
              <w:gridCol w:w="1246"/>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613" w:type="dxa"/>
                  <w:noWrap w:val="0"/>
                  <w:vAlign w:val="center"/>
                </w:tcPr>
                <w:p>
                  <w:pPr>
                    <w:pStyle w:val="32"/>
                    <w:widowControl/>
                    <w:jc w:val="center"/>
                    <w:rPr>
                      <w:b/>
                      <w:bCs/>
                      <w:sz w:val="18"/>
                      <w:szCs w:val="18"/>
                    </w:rPr>
                  </w:pPr>
                  <w:r>
                    <w:rPr>
                      <w:b/>
                      <w:bCs/>
                      <w:sz w:val="18"/>
                      <w:szCs w:val="18"/>
                    </w:rPr>
                    <w:t>序号</w:t>
                  </w:r>
                </w:p>
              </w:tc>
              <w:tc>
                <w:tcPr>
                  <w:tcW w:w="1123" w:type="dxa"/>
                  <w:noWrap w:val="0"/>
                  <w:vAlign w:val="center"/>
                </w:tcPr>
                <w:p>
                  <w:pPr>
                    <w:pStyle w:val="32"/>
                    <w:widowControl/>
                    <w:jc w:val="center"/>
                    <w:rPr>
                      <w:b/>
                      <w:bCs/>
                      <w:sz w:val="18"/>
                      <w:szCs w:val="18"/>
                    </w:rPr>
                  </w:pPr>
                  <w:r>
                    <w:rPr>
                      <w:b/>
                      <w:bCs/>
                      <w:sz w:val="18"/>
                      <w:szCs w:val="18"/>
                    </w:rPr>
                    <w:t>物质名称</w:t>
                  </w:r>
                </w:p>
              </w:tc>
              <w:tc>
                <w:tcPr>
                  <w:tcW w:w="1719" w:type="dxa"/>
                  <w:noWrap w:val="0"/>
                  <w:vAlign w:val="center"/>
                </w:tcPr>
                <w:p>
                  <w:pPr>
                    <w:pStyle w:val="32"/>
                    <w:widowControl/>
                    <w:jc w:val="center"/>
                    <w:rPr>
                      <w:b/>
                      <w:bCs/>
                      <w:sz w:val="18"/>
                      <w:szCs w:val="18"/>
                    </w:rPr>
                  </w:pPr>
                  <w:r>
                    <w:rPr>
                      <w:b/>
                      <w:bCs/>
                      <w:sz w:val="18"/>
                      <w:szCs w:val="18"/>
                    </w:rPr>
                    <w:t>厂区内最大存储量（</w:t>
                  </w:r>
                  <w:r>
                    <w:rPr>
                      <w:rFonts w:eastAsia="Times New Roman"/>
                      <w:b/>
                      <w:bCs/>
                      <w:sz w:val="18"/>
                      <w:szCs w:val="18"/>
                    </w:rPr>
                    <w:t>t</w:t>
                  </w:r>
                  <w:r>
                    <w:rPr>
                      <w:b/>
                      <w:bCs/>
                      <w:sz w:val="18"/>
                      <w:szCs w:val="18"/>
                    </w:rPr>
                    <w:t>）</w:t>
                  </w:r>
                </w:p>
              </w:tc>
              <w:tc>
                <w:tcPr>
                  <w:tcW w:w="1252" w:type="dxa"/>
                  <w:noWrap w:val="0"/>
                  <w:vAlign w:val="center"/>
                </w:tcPr>
                <w:p>
                  <w:pPr>
                    <w:pStyle w:val="32"/>
                    <w:widowControl/>
                    <w:jc w:val="center"/>
                    <w:rPr>
                      <w:b/>
                      <w:bCs/>
                      <w:sz w:val="18"/>
                      <w:szCs w:val="18"/>
                    </w:rPr>
                  </w:pPr>
                  <w:r>
                    <w:rPr>
                      <w:b/>
                      <w:bCs/>
                      <w:sz w:val="18"/>
                      <w:szCs w:val="18"/>
                    </w:rPr>
                    <w:t>危险物质成分</w:t>
                  </w:r>
                </w:p>
              </w:tc>
              <w:tc>
                <w:tcPr>
                  <w:tcW w:w="1009" w:type="dxa"/>
                  <w:noWrap w:val="0"/>
                  <w:vAlign w:val="center"/>
                </w:tcPr>
                <w:p>
                  <w:pPr>
                    <w:widowControl/>
                    <w:jc w:val="center"/>
                    <w:rPr>
                      <w:b/>
                      <w:bCs/>
                      <w:sz w:val="18"/>
                      <w:szCs w:val="18"/>
                    </w:rPr>
                  </w:pPr>
                  <w:r>
                    <w:rPr>
                      <w:b/>
                      <w:bCs/>
                      <w:sz w:val="18"/>
                      <w:szCs w:val="18"/>
                    </w:rPr>
                    <w:t>是否属于环境风险物质</w:t>
                  </w:r>
                </w:p>
              </w:tc>
              <w:tc>
                <w:tcPr>
                  <w:tcW w:w="980" w:type="dxa"/>
                  <w:noWrap w:val="0"/>
                  <w:vAlign w:val="center"/>
                </w:tcPr>
                <w:p>
                  <w:pPr>
                    <w:widowControl/>
                    <w:jc w:val="center"/>
                    <w:rPr>
                      <w:b/>
                      <w:bCs/>
                      <w:sz w:val="18"/>
                      <w:szCs w:val="18"/>
                    </w:rPr>
                  </w:pPr>
                  <w:r>
                    <w:rPr>
                      <w:b/>
                      <w:bCs/>
                      <w:kern w:val="0"/>
                      <w:sz w:val="20"/>
                      <w:szCs w:val="20"/>
                      <w:lang w:bidi="ar"/>
                    </w:rPr>
                    <w:t>含量</w:t>
                  </w:r>
                </w:p>
              </w:tc>
              <w:tc>
                <w:tcPr>
                  <w:tcW w:w="1246" w:type="dxa"/>
                  <w:noWrap w:val="0"/>
                  <w:vAlign w:val="center"/>
                </w:tcPr>
                <w:p>
                  <w:pPr>
                    <w:widowControl/>
                    <w:jc w:val="center"/>
                    <w:rPr>
                      <w:b/>
                      <w:bCs/>
                      <w:kern w:val="0"/>
                      <w:sz w:val="20"/>
                      <w:szCs w:val="20"/>
                      <w:lang w:bidi="ar"/>
                    </w:rPr>
                  </w:pPr>
                  <w:r>
                    <w:rPr>
                      <w:b/>
                      <w:bCs/>
                      <w:sz w:val="18"/>
                      <w:szCs w:val="18"/>
                    </w:rPr>
                    <w:t>折纯最大存储量（</w:t>
                  </w:r>
                  <w:r>
                    <w:rPr>
                      <w:rFonts w:eastAsia="Times New Roman"/>
                      <w:b/>
                      <w:bCs/>
                      <w:sz w:val="18"/>
                      <w:szCs w:val="18"/>
                    </w:rPr>
                    <w:t>t</w:t>
                  </w:r>
                  <w:r>
                    <w:rPr>
                      <w:b/>
                      <w:bCs/>
                      <w:sz w:val="18"/>
                      <w:szCs w:val="18"/>
                    </w:rPr>
                    <w:t>）</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613" w:type="dxa"/>
                  <w:noWrap w:val="0"/>
                  <w:vAlign w:val="center"/>
                </w:tcPr>
                <w:p>
                  <w:pPr>
                    <w:pStyle w:val="32"/>
                    <w:widowControl/>
                    <w:jc w:val="center"/>
                    <w:rPr>
                      <w:sz w:val="18"/>
                      <w:szCs w:val="18"/>
                    </w:rPr>
                  </w:pPr>
                  <w:r>
                    <w:rPr>
                      <w:sz w:val="18"/>
                      <w:szCs w:val="18"/>
                    </w:rPr>
                    <w:t>1</w:t>
                  </w:r>
                </w:p>
              </w:tc>
              <w:tc>
                <w:tcPr>
                  <w:tcW w:w="1123" w:type="dxa"/>
                  <w:noWrap w:val="0"/>
                  <w:vAlign w:val="center"/>
                </w:tcPr>
                <w:p>
                  <w:pPr>
                    <w:widowControl/>
                    <w:jc w:val="center"/>
                    <w:rPr>
                      <w:sz w:val="18"/>
                      <w:szCs w:val="18"/>
                    </w:rPr>
                  </w:pPr>
                  <w:r>
                    <w:rPr>
                      <w:sz w:val="18"/>
                      <w:szCs w:val="18"/>
                    </w:rPr>
                    <w:t>PE</w:t>
                  </w:r>
                  <w:r>
                    <w:rPr>
                      <w:rFonts w:hint="eastAsia"/>
                      <w:sz w:val="18"/>
                      <w:szCs w:val="18"/>
                      <w:lang w:val="en-US" w:eastAsia="zh-CN"/>
                    </w:rPr>
                    <w:t>塑料粒子</w:t>
                  </w:r>
                </w:p>
              </w:tc>
              <w:tc>
                <w:tcPr>
                  <w:tcW w:w="1719" w:type="dxa"/>
                  <w:noWrap w:val="0"/>
                  <w:vAlign w:val="center"/>
                </w:tcPr>
                <w:p>
                  <w:pPr>
                    <w:widowControl/>
                    <w:jc w:val="center"/>
                    <w:rPr>
                      <w:rFonts w:hint="default" w:eastAsia="宋体"/>
                      <w:sz w:val="18"/>
                      <w:szCs w:val="18"/>
                      <w:lang w:val="en-US" w:eastAsia="zh-CN"/>
                    </w:rPr>
                  </w:pPr>
                  <w:r>
                    <w:rPr>
                      <w:rFonts w:hint="eastAsia"/>
                      <w:sz w:val="18"/>
                      <w:szCs w:val="18"/>
                      <w:lang w:val="en-US" w:eastAsia="zh-CN"/>
                    </w:rPr>
                    <w:t>5</w:t>
                  </w:r>
                </w:p>
              </w:tc>
              <w:tc>
                <w:tcPr>
                  <w:tcW w:w="1252" w:type="dxa"/>
                  <w:noWrap w:val="0"/>
                  <w:vAlign w:val="center"/>
                </w:tcPr>
                <w:p>
                  <w:pPr>
                    <w:pStyle w:val="32"/>
                    <w:widowControl/>
                    <w:jc w:val="center"/>
                    <w:rPr>
                      <w:sz w:val="18"/>
                      <w:szCs w:val="18"/>
                    </w:rPr>
                  </w:pPr>
                  <w:r>
                    <w:rPr>
                      <w:sz w:val="18"/>
                      <w:szCs w:val="18"/>
                    </w:rPr>
                    <w:t>PE</w:t>
                  </w:r>
                </w:p>
              </w:tc>
              <w:tc>
                <w:tcPr>
                  <w:tcW w:w="1009" w:type="dxa"/>
                  <w:noWrap w:val="0"/>
                  <w:vAlign w:val="center"/>
                </w:tcPr>
                <w:p>
                  <w:pPr>
                    <w:jc w:val="center"/>
                    <w:rPr>
                      <w:sz w:val="18"/>
                      <w:szCs w:val="18"/>
                    </w:rPr>
                  </w:pPr>
                  <w:r>
                    <w:rPr>
                      <w:sz w:val="18"/>
                      <w:szCs w:val="18"/>
                    </w:rPr>
                    <w:t>是</w:t>
                  </w:r>
                </w:p>
              </w:tc>
              <w:tc>
                <w:tcPr>
                  <w:tcW w:w="980" w:type="dxa"/>
                  <w:noWrap w:val="0"/>
                  <w:vAlign w:val="center"/>
                </w:tcPr>
                <w:p>
                  <w:pPr>
                    <w:jc w:val="center"/>
                    <w:rPr>
                      <w:rFonts w:hint="eastAsia" w:eastAsia="宋体"/>
                      <w:sz w:val="18"/>
                      <w:szCs w:val="18"/>
                      <w:lang w:eastAsia="zh-CN"/>
                    </w:rPr>
                  </w:pPr>
                  <w:r>
                    <w:rPr>
                      <w:rFonts w:hint="eastAsia"/>
                      <w:sz w:val="18"/>
                      <w:szCs w:val="18"/>
                      <w:lang w:val="en-US" w:eastAsia="zh-CN"/>
                    </w:rPr>
                    <w:t>/</w:t>
                  </w:r>
                </w:p>
              </w:tc>
              <w:tc>
                <w:tcPr>
                  <w:tcW w:w="1246" w:type="dxa"/>
                  <w:noWrap w:val="0"/>
                  <w:vAlign w:val="center"/>
                </w:tcPr>
                <w:p>
                  <w:pPr>
                    <w:jc w:val="center"/>
                    <w:rPr>
                      <w:sz w:val="18"/>
                      <w:szCs w:val="18"/>
                    </w:rPr>
                  </w:pPr>
                  <w:r>
                    <w:rPr>
                      <w:rFonts w:hint="eastAsia"/>
                      <w:sz w:val="18"/>
                      <w:szCs w:val="18"/>
                      <w:lang w:val="en-US" w:eastAsia="zh-CN"/>
                    </w:rPr>
                    <w:t>5</w:t>
                  </w:r>
                </w:p>
              </w:tc>
            </w:tr>
          </w:tbl>
          <w:p>
            <w:pPr>
              <w:widowControl/>
              <w:spacing w:line="480" w:lineRule="exact"/>
              <w:jc w:val="center"/>
              <w:rPr>
                <w:kern w:val="0"/>
                <w:sz w:val="18"/>
                <w:szCs w:val="18"/>
                <w:lang w:bidi="ar"/>
              </w:rPr>
            </w:pPr>
            <w:r>
              <w:rPr>
                <w:b/>
                <w:bCs/>
                <w:kern w:val="0"/>
                <w:sz w:val="18"/>
                <w:szCs w:val="18"/>
              </w:rPr>
              <w:t>表4-31  建设项目Q值确定表</w:t>
            </w:r>
          </w:p>
          <w:tbl>
            <w:tblPr>
              <w:tblStyle w:val="21"/>
              <w:tblW w:w="7942" w:type="dxa"/>
              <w:jc w:val="center"/>
              <w:tblInd w:w="0"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38"/>
              <w:gridCol w:w="1892"/>
              <w:gridCol w:w="1489"/>
              <w:gridCol w:w="2237"/>
              <w:gridCol w:w="1586"/>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exact"/>
                <w:jc w:val="center"/>
              </w:trPr>
              <w:tc>
                <w:tcPr>
                  <w:tcW w:w="738" w:type="dxa"/>
                  <w:noWrap w:val="0"/>
                  <w:vAlign w:val="center"/>
                </w:tcPr>
                <w:p>
                  <w:pPr>
                    <w:pStyle w:val="32"/>
                    <w:widowControl/>
                    <w:jc w:val="center"/>
                    <w:rPr>
                      <w:b/>
                      <w:bCs/>
                      <w:sz w:val="18"/>
                      <w:szCs w:val="18"/>
                    </w:rPr>
                  </w:pPr>
                  <w:r>
                    <w:rPr>
                      <w:b/>
                      <w:bCs/>
                      <w:sz w:val="18"/>
                      <w:szCs w:val="18"/>
                    </w:rPr>
                    <w:t>序号</w:t>
                  </w:r>
                </w:p>
              </w:tc>
              <w:tc>
                <w:tcPr>
                  <w:tcW w:w="1892" w:type="dxa"/>
                  <w:noWrap w:val="0"/>
                  <w:vAlign w:val="center"/>
                </w:tcPr>
                <w:p>
                  <w:pPr>
                    <w:pStyle w:val="32"/>
                    <w:widowControl/>
                    <w:jc w:val="center"/>
                    <w:rPr>
                      <w:b/>
                      <w:bCs/>
                      <w:sz w:val="18"/>
                      <w:szCs w:val="18"/>
                    </w:rPr>
                  </w:pPr>
                  <w:r>
                    <w:rPr>
                      <w:b/>
                      <w:bCs/>
                      <w:sz w:val="18"/>
                      <w:szCs w:val="18"/>
                    </w:rPr>
                    <w:t>物质名称</w:t>
                  </w:r>
                </w:p>
              </w:tc>
              <w:tc>
                <w:tcPr>
                  <w:tcW w:w="1489" w:type="dxa"/>
                  <w:noWrap w:val="0"/>
                  <w:vAlign w:val="center"/>
                </w:tcPr>
                <w:p>
                  <w:pPr>
                    <w:pStyle w:val="32"/>
                    <w:widowControl/>
                    <w:jc w:val="center"/>
                    <w:rPr>
                      <w:b/>
                      <w:bCs/>
                      <w:sz w:val="18"/>
                      <w:szCs w:val="18"/>
                    </w:rPr>
                  </w:pPr>
                  <w:r>
                    <w:rPr>
                      <w:b/>
                      <w:bCs/>
                      <w:sz w:val="18"/>
                      <w:szCs w:val="18"/>
                    </w:rPr>
                    <w:t>临界量（</w:t>
                  </w:r>
                  <w:r>
                    <w:rPr>
                      <w:rFonts w:eastAsia="Times New Roman"/>
                      <w:b/>
                      <w:bCs/>
                      <w:sz w:val="18"/>
                      <w:szCs w:val="18"/>
                    </w:rPr>
                    <w:t>t</w:t>
                  </w:r>
                  <w:r>
                    <w:rPr>
                      <w:b/>
                      <w:bCs/>
                      <w:sz w:val="18"/>
                      <w:szCs w:val="18"/>
                    </w:rPr>
                    <w:t>）</w:t>
                  </w:r>
                </w:p>
              </w:tc>
              <w:tc>
                <w:tcPr>
                  <w:tcW w:w="2237" w:type="dxa"/>
                  <w:noWrap w:val="0"/>
                  <w:vAlign w:val="center"/>
                </w:tcPr>
                <w:p>
                  <w:pPr>
                    <w:pStyle w:val="32"/>
                    <w:widowControl/>
                    <w:jc w:val="center"/>
                    <w:rPr>
                      <w:b/>
                      <w:bCs/>
                      <w:sz w:val="18"/>
                      <w:szCs w:val="18"/>
                    </w:rPr>
                  </w:pPr>
                  <w:r>
                    <w:rPr>
                      <w:b/>
                      <w:bCs/>
                      <w:sz w:val="18"/>
                      <w:szCs w:val="18"/>
                    </w:rPr>
                    <w:t>厂区内最大存储量（</w:t>
                  </w:r>
                  <w:r>
                    <w:rPr>
                      <w:rFonts w:eastAsia="Times New Roman"/>
                      <w:b/>
                      <w:bCs/>
                      <w:sz w:val="18"/>
                      <w:szCs w:val="18"/>
                    </w:rPr>
                    <w:t>t</w:t>
                  </w:r>
                  <w:r>
                    <w:rPr>
                      <w:b/>
                      <w:bCs/>
                      <w:sz w:val="18"/>
                      <w:szCs w:val="18"/>
                    </w:rPr>
                    <w:t>）</w:t>
                  </w:r>
                </w:p>
              </w:tc>
              <w:tc>
                <w:tcPr>
                  <w:tcW w:w="1586" w:type="dxa"/>
                  <w:noWrap w:val="0"/>
                  <w:vAlign w:val="center"/>
                </w:tcPr>
                <w:p>
                  <w:pPr>
                    <w:pStyle w:val="32"/>
                    <w:widowControl/>
                    <w:jc w:val="center"/>
                    <w:rPr>
                      <w:b/>
                      <w:bCs/>
                      <w:sz w:val="18"/>
                      <w:szCs w:val="18"/>
                    </w:rPr>
                  </w:pPr>
                  <w:r>
                    <w:rPr>
                      <w:b/>
                      <w:bCs/>
                      <w:sz w:val="18"/>
                      <w:szCs w:val="18"/>
                    </w:rPr>
                    <w:t>q/Q</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exact"/>
                <w:jc w:val="center"/>
              </w:trPr>
              <w:tc>
                <w:tcPr>
                  <w:tcW w:w="738" w:type="dxa"/>
                  <w:noWrap w:val="0"/>
                  <w:vAlign w:val="center"/>
                </w:tcPr>
                <w:p>
                  <w:pPr>
                    <w:pStyle w:val="32"/>
                    <w:widowControl/>
                    <w:jc w:val="center"/>
                    <w:rPr>
                      <w:sz w:val="18"/>
                      <w:szCs w:val="18"/>
                    </w:rPr>
                  </w:pPr>
                  <w:r>
                    <w:rPr>
                      <w:sz w:val="18"/>
                      <w:szCs w:val="18"/>
                    </w:rPr>
                    <w:t>1</w:t>
                  </w:r>
                </w:p>
              </w:tc>
              <w:tc>
                <w:tcPr>
                  <w:tcW w:w="1892" w:type="dxa"/>
                  <w:noWrap w:val="0"/>
                  <w:vAlign w:val="center"/>
                </w:tcPr>
                <w:p>
                  <w:pPr>
                    <w:pStyle w:val="32"/>
                    <w:jc w:val="center"/>
                    <w:rPr>
                      <w:sz w:val="18"/>
                      <w:szCs w:val="18"/>
                    </w:rPr>
                  </w:pPr>
                  <w:r>
                    <w:rPr>
                      <w:sz w:val="18"/>
                      <w:szCs w:val="18"/>
                    </w:rPr>
                    <w:t>PE</w:t>
                  </w:r>
                  <w:r>
                    <w:rPr>
                      <w:rFonts w:hint="eastAsia"/>
                      <w:sz w:val="18"/>
                      <w:szCs w:val="18"/>
                      <w:lang w:val="en-US" w:eastAsia="zh-CN"/>
                    </w:rPr>
                    <w:t>塑料粒子</w:t>
                  </w:r>
                </w:p>
              </w:tc>
              <w:tc>
                <w:tcPr>
                  <w:tcW w:w="1489" w:type="dxa"/>
                  <w:noWrap w:val="0"/>
                  <w:vAlign w:val="center"/>
                </w:tcPr>
                <w:p>
                  <w:pPr>
                    <w:pStyle w:val="32"/>
                    <w:widowControl/>
                    <w:jc w:val="center"/>
                    <w:rPr>
                      <w:sz w:val="18"/>
                      <w:szCs w:val="18"/>
                    </w:rPr>
                  </w:pPr>
                  <w:r>
                    <w:rPr>
                      <w:sz w:val="18"/>
                      <w:szCs w:val="18"/>
                    </w:rPr>
                    <w:t>50</w:t>
                  </w:r>
                </w:p>
              </w:tc>
              <w:tc>
                <w:tcPr>
                  <w:tcW w:w="2237" w:type="dxa"/>
                  <w:noWrap w:val="0"/>
                  <w:vAlign w:val="center"/>
                </w:tcPr>
                <w:p>
                  <w:pPr>
                    <w:pStyle w:val="32"/>
                    <w:jc w:val="center"/>
                    <w:rPr>
                      <w:rFonts w:hint="eastAsia" w:eastAsia="宋体"/>
                      <w:sz w:val="18"/>
                      <w:szCs w:val="18"/>
                      <w:lang w:eastAsia="zh-CN"/>
                    </w:rPr>
                  </w:pPr>
                  <w:r>
                    <w:rPr>
                      <w:rFonts w:hint="eastAsia"/>
                      <w:sz w:val="18"/>
                      <w:szCs w:val="18"/>
                      <w:lang w:val="en-US" w:eastAsia="zh-CN"/>
                    </w:rPr>
                    <w:t>5</w:t>
                  </w:r>
                </w:p>
              </w:tc>
              <w:tc>
                <w:tcPr>
                  <w:tcW w:w="1586" w:type="dxa"/>
                  <w:noWrap w:val="0"/>
                  <w:vAlign w:val="center"/>
                </w:tcPr>
                <w:p>
                  <w:pPr>
                    <w:pStyle w:val="32"/>
                    <w:jc w:val="center"/>
                    <w:rPr>
                      <w:rFonts w:hint="default" w:eastAsia="宋体"/>
                      <w:sz w:val="18"/>
                      <w:szCs w:val="18"/>
                      <w:lang w:val="en-US" w:eastAsia="zh-CN"/>
                    </w:rPr>
                  </w:pPr>
                  <w:r>
                    <w:rPr>
                      <w:rFonts w:hint="eastAsia"/>
                      <w:sz w:val="18"/>
                      <w:szCs w:val="18"/>
                      <w:lang w:val="en-US" w:eastAsia="zh-CN"/>
                    </w:rPr>
                    <w:t>0.1</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exact"/>
                <w:jc w:val="center"/>
              </w:trPr>
              <w:tc>
                <w:tcPr>
                  <w:tcW w:w="738" w:type="dxa"/>
                  <w:noWrap w:val="0"/>
                  <w:vAlign w:val="center"/>
                </w:tcPr>
                <w:p>
                  <w:pPr>
                    <w:pStyle w:val="32"/>
                    <w:widowControl/>
                    <w:jc w:val="center"/>
                    <w:rPr>
                      <w:sz w:val="18"/>
                      <w:szCs w:val="18"/>
                    </w:rPr>
                  </w:pPr>
                  <w:r>
                    <w:rPr>
                      <w:sz w:val="18"/>
                      <w:szCs w:val="18"/>
                    </w:rPr>
                    <w:t>3</w:t>
                  </w:r>
                </w:p>
              </w:tc>
              <w:tc>
                <w:tcPr>
                  <w:tcW w:w="1892" w:type="dxa"/>
                  <w:noWrap w:val="0"/>
                  <w:vAlign w:val="center"/>
                </w:tcPr>
                <w:p>
                  <w:pPr>
                    <w:pStyle w:val="32"/>
                    <w:jc w:val="center"/>
                    <w:rPr>
                      <w:rFonts w:hint="eastAsia" w:eastAsia="宋体"/>
                      <w:sz w:val="18"/>
                      <w:szCs w:val="18"/>
                      <w:lang w:eastAsia="zh-CN"/>
                    </w:rPr>
                  </w:pPr>
                  <w:r>
                    <w:rPr>
                      <w:sz w:val="18"/>
                      <w:szCs w:val="18"/>
                    </w:rPr>
                    <w:t>废活性炭</w:t>
                  </w:r>
                </w:p>
              </w:tc>
              <w:tc>
                <w:tcPr>
                  <w:tcW w:w="1489" w:type="dxa"/>
                  <w:noWrap w:val="0"/>
                  <w:vAlign w:val="center"/>
                </w:tcPr>
                <w:p>
                  <w:pPr>
                    <w:pStyle w:val="32"/>
                    <w:widowControl/>
                    <w:jc w:val="center"/>
                    <w:rPr>
                      <w:sz w:val="18"/>
                      <w:szCs w:val="18"/>
                    </w:rPr>
                  </w:pPr>
                  <w:r>
                    <w:rPr>
                      <w:sz w:val="18"/>
                      <w:szCs w:val="18"/>
                    </w:rPr>
                    <w:t>50</w:t>
                  </w:r>
                </w:p>
              </w:tc>
              <w:tc>
                <w:tcPr>
                  <w:tcW w:w="2237" w:type="dxa"/>
                  <w:noWrap w:val="0"/>
                  <w:vAlign w:val="center"/>
                </w:tcPr>
                <w:p>
                  <w:pPr>
                    <w:pStyle w:val="32"/>
                    <w:jc w:val="center"/>
                    <w:rPr>
                      <w:sz w:val="18"/>
                      <w:szCs w:val="18"/>
                    </w:rPr>
                  </w:pPr>
                  <w:r>
                    <w:rPr>
                      <w:rFonts w:hint="eastAsia"/>
                      <w:sz w:val="18"/>
                      <w:szCs w:val="18"/>
                      <w:lang w:val="en-US" w:eastAsia="zh-CN"/>
                    </w:rPr>
                    <w:t>1.114</w:t>
                  </w:r>
                </w:p>
              </w:tc>
              <w:tc>
                <w:tcPr>
                  <w:tcW w:w="1586" w:type="dxa"/>
                  <w:noWrap w:val="0"/>
                  <w:vAlign w:val="center"/>
                </w:tcPr>
                <w:p>
                  <w:pPr>
                    <w:pStyle w:val="32"/>
                    <w:jc w:val="center"/>
                    <w:rPr>
                      <w:rFonts w:hint="default" w:eastAsia="宋体"/>
                      <w:sz w:val="18"/>
                      <w:szCs w:val="18"/>
                      <w:lang w:val="en-US" w:eastAsia="zh-CN"/>
                    </w:rPr>
                  </w:pPr>
                  <w:r>
                    <w:rPr>
                      <w:rFonts w:hint="eastAsia"/>
                      <w:sz w:val="18"/>
                      <w:szCs w:val="18"/>
                      <w:lang w:val="en-US" w:eastAsia="zh-CN"/>
                    </w:rPr>
                    <w:t>0.02228</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exact"/>
                <w:jc w:val="center"/>
              </w:trPr>
              <w:tc>
                <w:tcPr>
                  <w:tcW w:w="6356" w:type="dxa"/>
                  <w:gridSpan w:val="4"/>
                  <w:noWrap w:val="0"/>
                  <w:vAlign w:val="center"/>
                </w:tcPr>
                <w:p>
                  <w:pPr>
                    <w:pStyle w:val="32"/>
                    <w:jc w:val="center"/>
                    <w:rPr>
                      <w:sz w:val="18"/>
                      <w:szCs w:val="18"/>
                    </w:rPr>
                  </w:pPr>
                  <w:r>
                    <w:rPr>
                      <w:sz w:val="18"/>
                      <w:szCs w:val="18"/>
                    </w:rPr>
                    <w:t>合计</w:t>
                  </w:r>
                </w:p>
              </w:tc>
              <w:tc>
                <w:tcPr>
                  <w:tcW w:w="1586" w:type="dxa"/>
                  <w:noWrap w:val="0"/>
                  <w:vAlign w:val="center"/>
                </w:tcPr>
                <w:p>
                  <w:pPr>
                    <w:pStyle w:val="32"/>
                    <w:jc w:val="center"/>
                    <w:rPr>
                      <w:rFonts w:hint="default" w:eastAsia="宋体"/>
                      <w:sz w:val="18"/>
                      <w:szCs w:val="18"/>
                      <w:lang w:val="en-US" w:eastAsia="zh-CN"/>
                    </w:rPr>
                  </w:pPr>
                  <w:r>
                    <w:rPr>
                      <w:rFonts w:hint="eastAsia"/>
                      <w:sz w:val="18"/>
                      <w:szCs w:val="18"/>
                      <w:lang w:val="en-US" w:eastAsia="zh-CN"/>
                    </w:rPr>
                    <w:t>0.12228</w:t>
                  </w:r>
                </w:p>
              </w:tc>
            </w:tr>
          </w:tbl>
          <w:p>
            <w:pPr>
              <w:widowControl/>
              <w:jc w:val="left"/>
              <w:rPr>
                <w:kern w:val="0"/>
                <w:szCs w:val="21"/>
                <w:lang w:bidi="ar"/>
              </w:rPr>
            </w:pPr>
            <w:r>
              <w:rPr>
                <w:kern w:val="0"/>
                <w:sz w:val="18"/>
                <w:szCs w:val="18"/>
                <w:lang w:bidi="ar"/>
              </w:rPr>
              <w:t>注：</w:t>
            </w:r>
            <w:r>
              <w:rPr>
                <w:rFonts w:hint="eastAsia" w:ascii="宋体" w:hAnsi="宋体" w:cs="宋体"/>
                <w:kern w:val="0"/>
                <w:sz w:val="18"/>
                <w:szCs w:val="18"/>
                <w:lang w:bidi="ar"/>
              </w:rPr>
              <w:t>①</w:t>
            </w:r>
            <w:r>
              <w:rPr>
                <w:kern w:val="0"/>
                <w:sz w:val="18"/>
                <w:szCs w:val="18"/>
                <w:lang w:bidi="ar"/>
              </w:rPr>
              <w:t>本项目危险废物临界量参照《建设项目环境风险评价技术导则》（HJ169-2018）附录B 表B.2 中健康危险急性毒性物质（类别2，类别3），即50t。</w:t>
            </w:r>
          </w:p>
          <w:p>
            <w:pPr>
              <w:tabs>
                <w:tab w:val="left" w:pos="287"/>
              </w:tabs>
              <w:spacing w:line="480" w:lineRule="exact"/>
              <w:ind w:firstLine="420" w:firstLineChars="200"/>
              <w:rPr>
                <w:bCs/>
                <w:szCs w:val="21"/>
              </w:rPr>
            </w:pPr>
            <w:r>
              <w:rPr>
                <w:bCs/>
                <w:szCs w:val="21"/>
              </w:rPr>
              <w:t>当只涉及一种危险物质时，计算该物质的总量与其临界量比值，即为Q；</w:t>
            </w:r>
          </w:p>
          <w:p>
            <w:pPr>
              <w:spacing w:line="480" w:lineRule="exact"/>
              <w:ind w:firstLine="420" w:firstLineChars="200"/>
              <w:rPr>
                <w:bCs/>
                <w:szCs w:val="21"/>
              </w:rPr>
            </w:pPr>
            <w:r>
              <w:rPr>
                <w:bCs/>
                <w:szCs w:val="21"/>
              </w:rPr>
              <w:t>当存在多种危险物质时，则按式（C.1）计算物质总量与其临界量比值Q；</w:t>
            </w:r>
          </w:p>
          <w:p>
            <w:pPr>
              <w:spacing w:line="480" w:lineRule="exact"/>
              <w:ind w:firstLine="420" w:firstLineChars="200"/>
              <w:rPr>
                <w:bCs/>
                <w:szCs w:val="21"/>
              </w:rPr>
            </w:pPr>
            <w:r>
              <w:rPr>
                <w:bCs/>
                <w:szCs w:val="21"/>
              </w:rPr>
              <w:pict>
                <v:shape id="Object 67" o:spid="_x0000_s1060" o:spt="75" type="#_x0000_t75" style="position:absolute;left:0pt;margin-left:160.35pt;margin-top:1.15pt;height:30.1pt;width:97.35pt;z-index:251661312;mso-width-relative:page;mso-height-relative:page;" o:ole="t" filled="f" o:preferrelative="t" stroked="f" coordsize="21600,21600">
                  <v:path/>
                  <v:fill on="f" focussize="0,0"/>
                  <v:stroke on="f"/>
                  <v:imagedata r:id="rId31" o:title=""/>
                  <o:lock v:ext="edit" aspectratio="t"/>
                </v:shape>
                <o:OLEObject Type="Embed" ProgID="" ShapeID="Object 67" DrawAspect="Content" ObjectID="_1468075730" r:id="rId30">
                  <o:LockedField>false</o:LockedField>
                </o:OLEObject>
              </w:pict>
            </w:r>
          </w:p>
          <w:p>
            <w:pPr>
              <w:spacing w:line="480" w:lineRule="exact"/>
              <w:ind w:firstLine="420" w:firstLineChars="200"/>
              <w:rPr>
                <w:bCs/>
                <w:szCs w:val="21"/>
              </w:rPr>
            </w:pPr>
            <w:r>
              <w:rPr>
                <w:bCs/>
                <w:szCs w:val="21"/>
              </w:rPr>
              <w:t>式中：q</w:t>
            </w:r>
            <w:r>
              <w:rPr>
                <w:bCs/>
                <w:szCs w:val="21"/>
                <w:vertAlign w:val="subscript"/>
              </w:rPr>
              <w:t>1</w:t>
            </w:r>
            <w:r>
              <w:rPr>
                <w:bCs/>
                <w:szCs w:val="21"/>
              </w:rPr>
              <w:t>、q</w:t>
            </w:r>
            <w:r>
              <w:rPr>
                <w:bCs/>
                <w:szCs w:val="21"/>
                <w:vertAlign w:val="subscript"/>
              </w:rPr>
              <w:t>2</w:t>
            </w:r>
            <w:r>
              <w:rPr>
                <w:bCs/>
                <w:szCs w:val="21"/>
              </w:rPr>
              <w:t>、…q</w:t>
            </w:r>
            <w:r>
              <w:rPr>
                <w:bCs/>
                <w:szCs w:val="21"/>
                <w:vertAlign w:val="subscript"/>
              </w:rPr>
              <w:t>n</w:t>
            </w:r>
            <w:r>
              <w:rPr>
                <w:bCs/>
                <w:szCs w:val="21"/>
              </w:rPr>
              <w:t>----每种环境风险物质的存在量，t；</w:t>
            </w:r>
          </w:p>
          <w:p>
            <w:pPr>
              <w:spacing w:line="480" w:lineRule="exact"/>
              <w:ind w:firstLine="420" w:firstLineChars="200"/>
              <w:rPr>
                <w:bCs/>
                <w:szCs w:val="21"/>
              </w:rPr>
            </w:pPr>
            <w:r>
              <w:rPr>
                <w:bCs/>
                <w:szCs w:val="21"/>
              </w:rPr>
              <w:t>Q</w:t>
            </w:r>
            <w:r>
              <w:rPr>
                <w:bCs/>
                <w:szCs w:val="21"/>
                <w:vertAlign w:val="subscript"/>
              </w:rPr>
              <w:t>1</w:t>
            </w:r>
            <w:r>
              <w:rPr>
                <w:bCs/>
                <w:szCs w:val="21"/>
              </w:rPr>
              <w:t>、Q</w:t>
            </w:r>
            <w:r>
              <w:rPr>
                <w:bCs/>
                <w:szCs w:val="21"/>
                <w:vertAlign w:val="subscript"/>
              </w:rPr>
              <w:t>2</w:t>
            </w:r>
            <w:r>
              <w:rPr>
                <w:bCs/>
                <w:szCs w:val="21"/>
              </w:rPr>
              <w:t>、…Q</w:t>
            </w:r>
            <w:r>
              <w:rPr>
                <w:bCs/>
                <w:szCs w:val="21"/>
                <w:vertAlign w:val="subscript"/>
              </w:rPr>
              <w:t>n</w:t>
            </w:r>
            <w:r>
              <w:rPr>
                <w:bCs/>
                <w:szCs w:val="21"/>
              </w:rPr>
              <w:t>----每种环境风险物质的临界量，t。</w:t>
            </w:r>
          </w:p>
          <w:p>
            <w:pPr>
              <w:spacing w:line="480" w:lineRule="exact"/>
              <w:ind w:firstLine="420" w:firstLineChars="200"/>
              <w:rPr>
                <w:bCs/>
                <w:szCs w:val="21"/>
              </w:rPr>
            </w:pPr>
            <w:r>
              <w:rPr>
                <w:bCs/>
                <w:szCs w:val="21"/>
              </w:rPr>
              <w:t>当Q＜1时，该项目环境风险潜势为I。当Q≥1时，将Q值划分为：（1）1≤Q＜10；（2）10≤Q＜100；（3）Q＞100。</w:t>
            </w:r>
          </w:p>
          <w:p>
            <w:pPr>
              <w:spacing w:line="480" w:lineRule="exact"/>
              <w:ind w:firstLine="420" w:firstLineChars="200"/>
              <w:rPr>
                <w:bCs/>
                <w:szCs w:val="21"/>
              </w:rPr>
            </w:pPr>
            <w:r>
              <w:rPr>
                <w:bCs/>
                <w:szCs w:val="21"/>
              </w:rPr>
              <w:t>经计算本项目Q=</w:t>
            </w:r>
            <w:r>
              <w:rPr>
                <w:rFonts w:hint="eastAsia"/>
                <w:bCs/>
                <w:szCs w:val="21"/>
                <w:lang w:val="en-US" w:eastAsia="zh-CN"/>
              </w:rPr>
              <w:t>0.12228</w:t>
            </w:r>
            <w:r>
              <w:rPr>
                <w:bCs/>
                <w:szCs w:val="21"/>
              </w:rPr>
              <w:t>＜1，因此直接判定本项目环境风险潜势为Ⅰ。</w:t>
            </w:r>
          </w:p>
          <w:p>
            <w:pPr>
              <w:spacing w:line="480" w:lineRule="exact"/>
              <w:ind w:firstLine="420" w:firstLineChars="200"/>
              <w:rPr>
                <w:bCs/>
                <w:szCs w:val="21"/>
              </w:rPr>
            </w:pPr>
            <w:r>
              <w:rPr>
                <w:bCs/>
                <w:szCs w:val="21"/>
              </w:rPr>
              <w:t>（2）评价工作等级划分</w:t>
            </w:r>
          </w:p>
          <w:p>
            <w:pPr>
              <w:spacing w:line="480" w:lineRule="exact"/>
              <w:ind w:firstLine="420" w:firstLineChars="200"/>
              <w:rPr>
                <w:bCs/>
                <w:szCs w:val="21"/>
              </w:rPr>
            </w:pPr>
            <w:r>
              <w:rPr>
                <w:bCs/>
                <w:szCs w:val="21"/>
              </w:rPr>
              <w:t>由《建设项目环境风险评价技术导则》（HJ169-2018）可知，环境风险评价工作等级划分为一级、二级、三级。根据建设项目涉及的物质及工艺系统危险性和所在地的环境敏感性确定环境风险潜势，按照下表确定评价工作等级。</w:t>
            </w:r>
          </w:p>
          <w:p>
            <w:pPr>
              <w:spacing w:line="480" w:lineRule="exact"/>
              <w:jc w:val="center"/>
              <w:rPr>
                <w:b/>
                <w:bCs/>
                <w:kern w:val="0"/>
                <w:sz w:val="18"/>
                <w:szCs w:val="18"/>
              </w:rPr>
            </w:pPr>
            <w:r>
              <w:rPr>
                <w:b/>
                <w:bCs/>
                <w:kern w:val="0"/>
                <w:sz w:val="18"/>
                <w:szCs w:val="18"/>
              </w:rPr>
              <w:t>表4-32  评价工作等级划分</w:t>
            </w:r>
          </w:p>
          <w:tbl>
            <w:tblPr>
              <w:tblStyle w:val="21"/>
              <w:tblW w:w="7943"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89"/>
              <w:gridCol w:w="1587"/>
              <w:gridCol w:w="1589"/>
              <w:gridCol w:w="159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PrEx>
              <w:trPr>
                <w:trHeight w:val="340" w:hRule="atLeast"/>
              </w:trPr>
              <w:tc>
                <w:tcPr>
                  <w:tcW w:w="1588" w:type="dxa"/>
                  <w:noWrap w:val="0"/>
                  <w:vAlign w:val="center"/>
                </w:tcPr>
                <w:p>
                  <w:pPr>
                    <w:jc w:val="center"/>
                    <w:rPr>
                      <w:sz w:val="18"/>
                      <w:szCs w:val="18"/>
                    </w:rPr>
                  </w:pPr>
                  <w:r>
                    <w:rPr>
                      <w:sz w:val="18"/>
                      <w:szCs w:val="18"/>
                    </w:rPr>
                    <w:t>环境风险潜势</w:t>
                  </w:r>
                </w:p>
              </w:tc>
              <w:tc>
                <w:tcPr>
                  <w:tcW w:w="1589" w:type="dxa"/>
                  <w:noWrap w:val="0"/>
                  <w:vAlign w:val="center"/>
                </w:tcPr>
                <w:p>
                  <w:pPr>
                    <w:jc w:val="center"/>
                    <w:rPr>
                      <w:sz w:val="18"/>
                      <w:szCs w:val="18"/>
                    </w:rPr>
                  </w:pPr>
                  <w:r>
                    <w:rPr>
                      <w:sz w:val="18"/>
                      <w:szCs w:val="18"/>
                    </w:rPr>
                    <w:t>Ⅳ、Ⅳ</w:t>
                  </w:r>
                </w:p>
              </w:tc>
              <w:tc>
                <w:tcPr>
                  <w:tcW w:w="1587" w:type="dxa"/>
                  <w:noWrap w:val="0"/>
                  <w:vAlign w:val="center"/>
                </w:tcPr>
                <w:p>
                  <w:pPr>
                    <w:jc w:val="center"/>
                    <w:rPr>
                      <w:sz w:val="18"/>
                      <w:szCs w:val="18"/>
                    </w:rPr>
                  </w:pPr>
                  <w:r>
                    <w:rPr>
                      <w:sz w:val="18"/>
                      <w:szCs w:val="18"/>
                    </w:rPr>
                    <w:t>Ⅲ</w:t>
                  </w:r>
                </w:p>
              </w:tc>
              <w:tc>
                <w:tcPr>
                  <w:tcW w:w="1589" w:type="dxa"/>
                  <w:noWrap w:val="0"/>
                  <w:vAlign w:val="center"/>
                </w:tcPr>
                <w:p>
                  <w:pPr>
                    <w:jc w:val="center"/>
                    <w:rPr>
                      <w:sz w:val="18"/>
                      <w:szCs w:val="18"/>
                    </w:rPr>
                  </w:pPr>
                  <w:r>
                    <w:rPr>
                      <w:sz w:val="18"/>
                      <w:szCs w:val="18"/>
                    </w:rPr>
                    <w:t>Ⅱ</w:t>
                  </w:r>
                </w:p>
              </w:tc>
              <w:tc>
                <w:tcPr>
                  <w:tcW w:w="1590" w:type="dxa"/>
                  <w:noWrap w:val="0"/>
                  <w:vAlign w:val="center"/>
                </w:tcPr>
                <w:p>
                  <w:pPr>
                    <w:jc w:val="center"/>
                    <w:rPr>
                      <w:sz w:val="18"/>
                      <w:szCs w:val="18"/>
                    </w:rPr>
                  </w:pPr>
                  <w:r>
                    <w:rPr>
                      <w:sz w:val="18"/>
                      <w:szCs w:val="18"/>
                    </w:rPr>
                    <w:t>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88" w:type="dxa"/>
                  <w:shd w:val="clear" w:color="auto" w:fill="auto"/>
                  <w:noWrap w:val="0"/>
                  <w:vAlign w:val="center"/>
                </w:tcPr>
                <w:p>
                  <w:pPr>
                    <w:jc w:val="center"/>
                    <w:rPr>
                      <w:sz w:val="18"/>
                      <w:szCs w:val="18"/>
                    </w:rPr>
                  </w:pPr>
                  <w:r>
                    <w:rPr>
                      <w:sz w:val="18"/>
                      <w:szCs w:val="18"/>
                    </w:rPr>
                    <w:t>评价工作等级</w:t>
                  </w:r>
                </w:p>
              </w:tc>
              <w:tc>
                <w:tcPr>
                  <w:tcW w:w="1589" w:type="dxa"/>
                  <w:shd w:val="clear" w:color="auto" w:fill="auto"/>
                  <w:noWrap w:val="0"/>
                  <w:vAlign w:val="center"/>
                </w:tcPr>
                <w:p>
                  <w:pPr>
                    <w:jc w:val="center"/>
                    <w:rPr>
                      <w:sz w:val="18"/>
                      <w:szCs w:val="18"/>
                    </w:rPr>
                  </w:pPr>
                  <w:r>
                    <w:rPr>
                      <w:sz w:val="18"/>
                      <w:szCs w:val="18"/>
                    </w:rPr>
                    <w:t>一</w:t>
                  </w:r>
                </w:p>
              </w:tc>
              <w:tc>
                <w:tcPr>
                  <w:tcW w:w="1587" w:type="dxa"/>
                  <w:shd w:val="clear" w:color="auto" w:fill="auto"/>
                  <w:noWrap w:val="0"/>
                  <w:vAlign w:val="center"/>
                </w:tcPr>
                <w:p>
                  <w:pPr>
                    <w:jc w:val="center"/>
                    <w:rPr>
                      <w:sz w:val="18"/>
                      <w:szCs w:val="18"/>
                    </w:rPr>
                  </w:pPr>
                  <w:r>
                    <w:rPr>
                      <w:sz w:val="18"/>
                      <w:szCs w:val="18"/>
                    </w:rPr>
                    <w:t>二</w:t>
                  </w:r>
                </w:p>
              </w:tc>
              <w:tc>
                <w:tcPr>
                  <w:tcW w:w="1589" w:type="dxa"/>
                  <w:shd w:val="clear" w:color="auto" w:fill="auto"/>
                  <w:noWrap w:val="0"/>
                  <w:vAlign w:val="center"/>
                </w:tcPr>
                <w:p>
                  <w:pPr>
                    <w:jc w:val="center"/>
                    <w:rPr>
                      <w:sz w:val="18"/>
                      <w:szCs w:val="18"/>
                    </w:rPr>
                  </w:pPr>
                  <w:r>
                    <w:rPr>
                      <w:sz w:val="18"/>
                      <w:szCs w:val="18"/>
                    </w:rPr>
                    <w:t>三</w:t>
                  </w:r>
                </w:p>
              </w:tc>
              <w:tc>
                <w:tcPr>
                  <w:tcW w:w="1590" w:type="dxa"/>
                  <w:shd w:val="clear" w:color="auto" w:fill="DCD8C2"/>
                  <w:noWrap w:val="0"/>
                  <w:vAlign w:val="center"/>
                </w:tcPr>
                <w:p>
                  <w:pPr>
                    <w:jc w:val="center"/>
                    <w:rPr>
                      <w:sz w:val="18"/>
                      <w:szCs w:val="18"/>
                    </w:rPr>
                  </w:pPr>
                  <w:r>
                    <w:rPr>
                      <w:sz w:val="18"/>
                      <w:szCs w:val="18"/>
                    </w:rPr>
                    <w:t>简单分析</w:t>
                  </w:r>
                  <w:r>
                    <w:rPr>
                      <w:sz w:val="18"/>
                      <w:szCs w:val="18"/>
                      <w:vertAlign w:val="superscript"/>
                    </w:rPr>
                    <w: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943" w:type="dxa"/>
                  <w:gridSpan w:val="5"/>
                  <w:noWrap w:val="0"/>
                  <w:vAlign w:val="center"/>
                </w:tcPr>
                <w:p>
                  <w:pPr>
                    <w:jc w:val="center"/>
                    <w:rPr>
                      <w:sz w:val="18"/>
                      <w:szCs w:val="18"/>
                    </w:rPr>
                  </w:pPr>
                  <w:r>
                    <w:rPr>
                      <w:sz w:val="18"/>
                      <w:szCs w:val="18"/>
                      <w:vertAlign w:val="superscript"/>
                    </w:rPr>
                    <w:t>a</w:t>
                  </w:r>
                  <w:r>
                    <w:rPr>
                      <w:sz w:val="18"/>
                      <w:szCs w:val="18"/>
                    </w:rPr>
                    <w:t>是相对于详细评价工作内容而言，在描述危险物质、环境影响途径、环境危害后果、风险防范措施等方面给出定性的说明。</w:t>
                  </w:r>
                </w:p>
              </w:tc>
            </w:tr>
          </w:tbl>
          <w:p>
            <w:pPr>
              <w:spacing w:line="480" w:lineRule="exact"/>
              <w:ind w:firstLine="420" w:firstLineChars="200"/>
              <w:rPr>
                <w:bCs/>
                <w:szCs w:val="21"/>
              </w:rPr>
            </w:pPr>
            <w:r>
              <w:rPr>
                <w:bCs/>
                <w:szCs w:val="21"/>
              </w:rPr>
              <w:t>本项目环境风险潜势为Ⅰ，由上表本项目环境风险评价工作等级为简单分析。</w:t>
            </w:r>
          </w:p>
          <w:p>
            <w:pPr>
              <w:spacing w:line="480" w:lineRule="exact"/>
              <w:ind w:firstLine="420" w:firstLineChars="200"/>
              <w:rPr>
                <w:bCs/>
                <w:szCs w:val="21"/>
              </w:rPr>
            </w:pPr>
            <w:r>
              <w:rPr>
                <w:bCs/>
                <w:szCs w:val="21"/>
              </w:rPr>
              <w:t>3、环境风险识别</w:t>
            </w:r>
          </w:p>
          <w:p>
            <w:pPr>
              <w:spacing w:line="480" w:lineRule="exact"/>
              <w:ind w:firstLine="420" w:firstLineChars="200"/>
              <w:rPr>
                <w:bCs/>
                <w:szCs w:val="21"/>
              </w:rPr>
            </w:pPr>
            <w:r>
              <w:rPr>
                <w:bCs/>
                <w:szCs w:val="21"/>
              </w:rPr>
              <w:t xml:space="preserve">（1）生产系统危险性识别 </w:t>
            </w:r>
          </w:p>
          <w:p>
            <w:pPr>
              <w:spacing w:line="480" w:lineRule="exact"/>
              <w:ind w:firstLine="420" w:firstLineChars="200"/>
              <w:rPr>
                <w:bCs/>
                <w:szCs w:val="21"/>
              </w:rPr>
            </w:pPr>
            <w:r>
              <w:rPr>
                <w:bCs/>
                <w:szCs w:val="21"/>
              </w:rPr>
              <w:t xml:space="preserve">本项目生产过程中存在的环境风险主要为： </w:t>
            </w:r>
          </w:p>
          <w:p>
            <w:pPr>
              <w:spacing w:line="480" w:lineRule="exact"/>
              <w:ind w:firstLine="420" w:firstLineChars="200"/>
              <w:rPr>
                <w:bCs/>
                <w:szCs w:val="21"/>
              </w:rPr>
            </w:pPr>
            <w:r>
              <w:rPr>
                <w:bCs/>
                <w:szCs w:val="21"/>
              </w:rPr>
              <w:t>危废仓库危废</w:t>
            </w:r>
            <w:r>
              <w:rPr>
                <w:rFonts w:hint="eastAsia"/>
                <w:bCs/>
                <w:szCs w:val="21"/>
                <w:lang w:val="en-US" w:eastAsia="zh-CN"/>
              </w:rPr>
              <w:t>、塑料粒子原料</w:t>
            </w:r>
            <w:r>
              <w:rPr>
                <w:bCs/>
                <w:szCs w:val="21"/>
              </w:rPr>
              <w:t xml:space="preserve">泄漏遇明火导致火灾、爆炸事故，火灾伴生/次生污染物排放大气环境造成不利影响。 </w:t>
            </w:r>
          </w:p>
          <w:p>
            <w:pPr>
              <w:spacing w:line="480" w:lineRule="exact"/>
              <w:ind w:firstLine="420" w:firstLineChars="200"/>
              <w:rPr>
                <w:bCs/>
                <w:szCs w:val="21"/>
              </w:rPr>
            </w:pPr>
            <w:r>
              <w:rPr>
                <w:bCs/>
                <w:szCs w:val="21"/>
              </w:rPr>
              <w:t xml:space="preserve">（2）危险物质向环境转移的途径识别 </w:t>
            </w:r>
          </w:p>
          <w:p>
            <w:pPr>
              <w:spacing w:line="480" w:lineRule="exact"/>
              <w:ind w:firstLine="420" w:firstLineChars="200"/>
              <w:rPr>
                <w:bCs/>
                <w:szCs w:val="21"/>
              </w:rPr>
            </w:pPr>
            <w:r>
              <w:rPr>
                <w:bCs/>
                <w:szCs w:val="21"/>
              </w:rPr>
              <w:t>本项目危险物质在事故情形下对环境的影响途径具体见表4-33。</w:t>
            </w:r>
          </w:p>
          <w:p>
            <w:pPr>
              <w:pStyle w:val="32"/>
              <w:widowControl/>
              <w:tabs>
                <w:tab w:val="left" w:pos="1786"/>
              </w:tabs>
              <w:spacing w:line="480" w:lineRule="exact"/>
              <w:jc w:val="center"/>
              <w:rPr>
                <w:b/>
                <w:bCs/>
                <w:kern w:val="0"/>
                <w:sz w:val="18"/>
                <w:szCs w:val="18"/>
              </w:rPr>
            </w:pPr>
            <w:r>
              <w:rPr>
                <w:b/>
                <w:bCs/>
                <w:kern w:val="0"/>
                <w:sz w:val="18"/>
                <w:szCs w:val="18"/>
              </w:rPr>
              <w:t>表4-33  本项目危险物质向环境转移的途径识别表</w:t>
            </w:r>
          </w:p>
          <w:tbl>
            <w:tblPr>
              <w:tblStyle w:val="21"/>
              <w:tblW w:w="7945" w:type="dxa"/>
              <w:tblInd w:w="5"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630"/>
              <w:gridCol w:w="1652"/>
              <w:gridCol w:w="1697"/>
              <w:gridCol w:w="234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19" w:type="dxa"/>
                  <w:noWrap w:val="0"/>
                  <w:vAlign w:val="center"/>
                </w:tcPr>
                <w:p>
                  <w:pPr>
                    <w:jc w:val="center"/>
                    <w:rPr>
                      <w:b/>
                      <w:sz w:val="18"/>
                      <w:szCs w:val="18"/>
                    </w:rPr>
                  </w:pPr>
                  <w:r>
                    <w:rPr>
                      <w:b/>
                      <w:sz w:val="18"/>
                      <w:szCs w:val="18"/>
                    </w:rPr>
                    <w:t>序号</w:t>
                  </w:r>
                </w:p>
              </w:tc>
              <w:tc>
                <w:tcPr>
                  <w:tcW w:w="1630" w:type="dxa"/>
                  <w:noWrap w:val="0"/>
                  <w:vAlign w:val="center"/>
                </w:tcPr>
                <w:p>
                  <w:pPr>
                    <w:jc w:val="center"/>
                    <w:rPr>
                      <w:b/>
                      <w:sz w:val="18"/>
                      <w:szCs w:val="18"/>
                    </w:rPr>
                  </w:pPr>
                  <w:r>
                    <w:rPr>
                      <w:b/>
                      <w:sz w:val="18"/>
                      <w:szCs w:val="18"/>
                    </w:rPr>
                    <w:t>危险物质</w:t>
                  </w:r>
                </w:p>
              </w:tc>
              <w:tc>
                <w:tcPr>
                  <w:tcW w:w="1652" w:type="dxa"/>
                  <w:noWrap w:val="0"/>
                  <w:vAlign w:val="center"/>
                </w:tcPr>
                <w:p>
                  <w:pPr>
                    <w:jc w:val="center"/>
                    <w:rPr>
                      <w:b/>
                      <w:sz w:val="18"/>
                      <w:szCs w:val="18"/>
                    </w:rPr>
                  </w:pPr>
                  <w:r>
                    <w:rPr>
                      <w:b/>
                      <w:sz w:val="18"/>
                      <w:szCs w:val="18"/>
                    </w:rPr>
                    <w:t>环境风险类型</w:t>
                  </w:r>
                </w:p>
              </w:tc>
              <w:tc>
                <w:tcPr>
                  <w:tcW w:w="1697" w:type="dxa"/>
                  <w:noWrap w:val="0"/>
                  <w:vAlign w:val="center"/>
                </w:tcPr>
                <w:p>
                  <w:pPr>
                    <w:jc w:val="center"/>
                    <w:rPr>
                      <w:b/>
                      <w:sz w:val="18"/>
                      <w:szCs w:val="18"/>
                    </w:rPr>
                  </w:pPr>
                  <w:r>
                    <w:rPr>
                      <w:b/>
                      <w:sz w:val="18"/>
                      <w:szCs w:val="18"/>
                    </w:rPr>
                    <w:t>影响环境的途径</w:t>
                  </w:r>
                </w:p>
              </w:tc>
              <w:tc>
                <w:tcPr>
                  <w:tcW w:w="2347" w:type="dxa"/>
                  <w:noWrap w:val="0"/>
                  <w:vAlign w:val="center"/>
                </w:tcPr>
                <w:p>
                  <w:pPr>
                    <w:jc w:val="center"/>
                    <w:rPr>
                      <w:b/>
                      <w:sz w:val="18"/>
                      <w:szCs w:val="18"/>
                    </w:rPr>
                  </w:pPr>
                  <w:r>
                    <w:rPr>
                      <w:b/>
                      <w:sz w:val="18"/>
                      <w:szCs w:val="18"/>
                    </w:rPr>
                    <w:t>可能影响的环境敏感目标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19" w:type="dxa"/>
                  <w:noWrap w:val="0"/>
                  <w:vAlign w:val="center"/>
                </w:tcPr>
                <w:p>
                  <w:pPr>
                    <w:jc w:val="center"/>
                    <w:rPr>
                      <w:bCs/>
                      <w:sz w:val="18"/>
                      <w:szCs w:val="18"/>
                    </w:rPr>
                  </w:pPr>
                  <w:r>
                    <w:rPr>
                      <w:bCs/>
                      <w:sz w:val="18"/>
                      <w:szCs w:val="18"/>
                    </w:rPr>
                    <w:t>1</w:t>
                  </w:r>
                </w:p>
              </w:tc>
              <w:tc>
                <w:tcPr>
                  <w:tcW w:w="1630" w:type="dxa"/>
                  <w:noWrap w:val="0"/>
                  <w:vAlign w:val="center"/>
                </w:tcPr>
                <w:p>
                  <w:pPr>
                    <w:jc w:val="center"/>
                    <w:rPr>
                      <w:bCs/>
                      <w:sz w:val="18"/>
                      <w:szCs w:val="18"/>
                    </w:rPr>
                  </w:pPr>
                  <w:r>
                    <w:rPr>
                      <w:sz w:val="18"/>
                      <w:szCs w:val="18"/>
                    </w:rPr>
                    <w:t>PE</w:t>
                  </w:r>
                  <w:r>
                    <w:rPr>
                      <w:rFonts w:hint="eastAsia"/>
                      <w:sz w:val="18"/>
                      <w:szCs w:val="18"/>
                      <w:lang w:val="en-US" w:eastAsia="zh-CN"/>
                    </w:rPr>
                    <w:t>塑料粒子</w:t>
                  </w:r>
                </w:p>
              </w:tc>
              <w:tc>
                <w:tcPr>
                  <w:tcW w:w="1652" w:type="dxa"/>
                  <w:noWrap w:val="0"/>
                  <w:vAlign w:val="center"/>
                </w:tcPr>
                <w:p>
                  <w:pPr>
                    <w:jc w:val="center"/>
                    <w:rPr>
                      <w:bCs/>
                      <w:sz w:val="18"/>
                      <w:szCs w:val="18"/>
                    </w:rPr>
                  </w:pPr>
                  <w:r>
                    <w:rPr>
                      <w:bCs/>
                      <w:sz w:val="18"/>
                      <w:szCs w:val="18"/>
                    </w:rPr>
                    <w:t>火灾</w:t>
                  </w:r>
                </w:p>
              </w:tc>
              <w:tc>
                <w:tcPr>
                  <w:tcW w:w="1697" w:type="dxa"/>
                  <w:noWrap w:val="0"/>
                  <w:vAlign w:val="center"/>
                </w:tcPr>
                <w:p>
                  <w:pPr>
                    <w:jc w:val="center"/>
                    <w:rPr>
                      <w:bCs/>
                      <w:sz w:val="18"/>
                      <w:szCs w:val="18"/>
                    </w:rPr>
                  </w:pPr>
                  <w:r>
                    <w:rPr>
                      <w:bCs/>
                      <w:sz w:val="18"/>
                      <w:szCs w:val="18"/>
                    </w:rPr>
                    <w:t>火灾引发的伴生/次生污染物排放</w:t>
                  </w:r>
                </w:p>
              </w:tc>
              <w:tc>
                <w:tcPr>
                  <w:tcW w:w="2347" w:type="dxa"/>
                  <w:noWrap w:val="0"/>
                  <w:vAlign w:val="center"/>
                </w:tcPr>
                <w:p>
                  <w:pPr>
                    <w:jc w:val="center"/>
                    <w:rPr>
                      <w:bCs/>
                      <w:sz w:val="18"/>
                      <w:szCs w:val="18"/>
                    </w:rPr>
                  </w:pPr>
                  <w:r>
                    <w:rPr>
                      <w:bCs/>
                      <w:sz w:val="18"/>
                      <w:szCs w:val="18"/>
                    </w:rPr>
                    <w:t>地表水、大气</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19" w:type="dxa"/>
                  <w:noWrap w:val="0"/>
                  <w:vAlign w:val="center"/>
                </w:tcPr>
                <w:p>
                  <w:pPr>
                    <w:jc w:val="center"/>
                    <w:rPr>
                      <w:bCs/>
                      <w:sz w:val="18"/>
                      <w:szCs w:val="18"/>
                    </w:rPr>
                  </w:pPr>
                  <w:r>
                    <w:rPr>
                      <w:bCs/>
                      <w:sz w:val="18"/>
                      <w:szCs w:val="18"/>
                    </w:rPr>
                    <w:t>2</w:t>
                  </w:r>
                </w:p>
              </w:tc>
              <w:tc>
                <w:tcPr>
                  <w:tcW w:w="1630" w:type="dxa"/>
                  <w:noWrap w:val="0"/>
                  <w:vAlign w:val="center"/>
                </w:tcPr>
                <w:p>
                  <w:pPr>
                    <w:jc w:val="center"/>
                    <w:rPr>
                      <w:bCs/>
                      <w:sz w:val="18"/>
                      <w:szCs w:val="18"/>
                    </w:rPr>
                  </w:pPr>
                  <w:r>
                    <w:rPr>
                      <w:bCs/>
                      <w:sz w:val="18"/>
                      <w:szCs w:val="18"/>
                    </w:rPr>
                    <w:t>危险固废仓库</w:t>
                  </w:r>
                </w:p>
              </w:tc>
              <w:tc>
                <w:tcPr>
                  <w:tcW w:w="1652" w:type="dxa"/>
                  <w:noWrap w:val="0"/>
                  <w:vAlign w:val="center"/>
                </w:tcPr>
                <w:p>
                  <w:pPr>
                    <w:jc w:val="center"/>
                    <w:rPr>
                      <w:bCs/>
                      <w:sz w:val="18"/>
                      <w:szCs w:val="18"/>
                    </w:rPr>
                  </w:pPr>
                  <w:r>
                    <w:rPr>
                      <w:bCs/>
                      <w:sz w:val="18"/>
                      <w:szCs w:val="18"/>
                    </w:rPr>
                    <w:t>泄漏、火灾</w:t>
                  </w:r>
                </w:p>
              </w:tc>
              <w:tc>
                <w:tcPr>
                  <w:tcW w:w="1697" w:type="dxa"/>
                  <w:noWrap w:val="0"/>
                  <w:vAlign w:val="center"/>
                </w:tcPr>
                <w:p>
                  <w:pPr>
                    <w:jc w:val="center"/>
                    <w:rPr>
                      <w:bCs/>
                      <w:sz w:val="18"/>
                      <w:szCs w:val="18"/>
                    </w:rPr>
                  </w:pPr>
                  <w:r>
                    <w:rPr>
                      <w:bCs/>
                      <w:sz w:val="18"/>
                      <w:szCs w:val="18"/>
                    </w:rPr>
                    <w:t>直接挥发产生的有机污染物以及火灾引发的伴生/次生污染物排放</w:t>
                  </w:r>
                </w:p>
              </w:tc>
              <w:tc>
                <w:tcPr>
                  <w:tcW w:w="2347" w:type="dxa"/>
                  <w:noWrap w:val="0"/>
                  <w:vAlign w:val="center"/>
                </w:tcPr>
                <w:p>
                  <w:pPr>
                    <w:jc w:val="center"/>
                    <w:rPr>
                      <w:bCs/>
                      <w:sz w:val="18"/>
                      <w:szCs w:val="18"/>
                    </w:rPr>
                  </w:pPr>
                  <w:r>
                    <w:rPr>
                      <w:bCs/>
                      <w:sz w:val="18"/>
                      <w:szCs w:val="18"/>
                    </w:rPr>
                    <w:t>地表水、大气</w:t>
                  </w:r>
                </w:p>
              </w:tc>
            </w:tr>
          </w:tbl>
          <w:p>
            <w:pPr>
              <w:spacing w:line="480" w:lineRule="exact"/>
              <w:ind w:firstLine="420" w:firstLineChars="200"/>
              <w:rPr>
                <w:bCs/>
                <w:szCs w:val="21"/>
              </w:rPr>
            </w:pPr>
            <w:r>
              <w:rPr>
                <w:bCs/>
                <w:szCs w:val="21"/>
              </w:rPr>
              <w:t xml:space="preserve">4、环境敏感目标概况 </w:t>
            </w:r>
          </w:p>
          <w:p>
            <w:pPr>
              <w:spacing w:line="480" w:lineRule="exact"/>
              <w:ind w:firstLine="420" w:firstLineChars="200"/>
              <w:rPr>
                <w:bCs/>
                <w:szCs w:val="21"/>
              </w:rPr>
            </w:pPr>
            <w:r>
              <w:rPr>
                <w:bCs/>
                <w:szCs w:val="21"/>
              </w:rPr>
              <w:t>项目周边环境保护目标见表3-6，项目周边500m范围内</w:t>
            </w:r>
            <w:r>
              <w:rPr>
                <w:rFonts w:hint="eastAsia"/>
                <w:bCs/>
                <w:szCs w:val="21"/>
                <w:lang w:val="en-US" w:eastAsia="zh-CN"/>
              </w:rPr>
              <w:t>有</w:t>
            </w:r>
            <w:r>
              <w:rPr>
                <w:bCs/>
                <w:szCs w:val="21"/>
              </w:rPr>
              <w:t>居民点，与最近的居民区</w:t>
            </w:r>
            <w:r>
              <w:rPr>
                <w:rFonts w:hint="eastAsia"/>
                <w:bCs/>
                <w:szCs w:val="21"/>
                <w:lang w:val="en-US" w:eastAsia="zh-CN"/>
              </w:rPr>
              <w:t>马池沟</w:t>
            </w:r>
            <w:r>
              <w:rPr>
                <w:rFonts w:hint="eastAsia"/>
                <w:bCs/>
                <w:szCs w:val="21"/>
              </w:rPr>
              <w:t>村</w:t>
            </w:r>
            <w:r>
              <w:rPr>
                <w:rFonts w:hint="eastAsia"/>
                <w:bCs/>
                <w:szCs w:val="21"/>
                <w:lang w:val="en-US" w:eastAsia="zh-CN"/>
              </w:rPr>
              <w:t>距离约328</w:t>
            </w:r>
            <w:r>
              <w:rPr>
                <w:bCs/>
                <w:szCs w:val="21"/>
              </w:rPr>
              <w:t>m，项目距最近的生态红线保护区域滆湖重要湿地（武进区）约</w:t>
            </w:r>
            <w:r>
              <w:rPr>
                <w:rFonts w:hint="eastAsia"/>
                <w:bCs/>
                <w:szCs w:val="21"/>
                <w:lang w:val="en-US" w:eastAsia="zh-CN"/>
              </w:rPr>
              <w:t>8.5</w:t>
            </w:r>
            <w:r>
              <w:rPr>
                <w:bCs/>
                <w:szCs w:val="21"/>
              </w:rPr>
              <w:t xml:space="preserve">km。 </w:t>
            </w:r>
          </w:p>
          <w:p>
            <w:pPr>
              <w:spacing w:line="480" w:lineRule="exact"/>
              <w:ind w:firstLine="420" w:firstLineChars="200"/>
              <w:rPr>
                <w:bCs/>
                <w:szCs w:val="21"/>
              </w:rPr>
            </w:pPr>
            <w:r>
              <w:rPr>
                <w:bCs/>
                <w:szCs w:val="21"/>
              </w:rPr>
              <w:t xml:space="preserve">5、环境风险防范措施 </w:t>
            </w:r>
          </w:p>
          <w:p>
            <w:pPr>
              <w:spacing w:line="480" w:lineRule="exact"/>
              <w:ind w:firstLine="420" w:firstLineChars="200"/>
              <w:rPr>
                <w:bCs/>
                <w:szCs w:val="21"/>
              </w:rPr>
            </w:pPr>
            <w:r>
              <w:rPr>
                <w:bCs/>
                <w:szCs w:val="21"/>
              </w:rPr>
              <w:t xml:space="preserve">（1）生产系统风险防范措施 </w:t>
            </w:r>
          </w:p>
          <w:p>
            <w:pPr>
              <w:spacing w:line="480" w:lineRule="exact"/>
              <w:ind w:firstLine="420" w:firstLineChars="200"/>
              <w:rPr>
                <w:bCs/>
                <w:szCs w:val="21"/>
              </w:rPr>
            </w:pPr>
            <w:r>
              <w:rPr>
                <w:rFonts w:hint="eastAsia" w:ascii="宋体" w:hAnsi="宋体" w:cs="宋体"/>
                <w:bCs/>
                <w:szCs w:val="21"/>
              </w:rPr>
              <w:t>①</w:t>
            </w:r>
            <w:r>
              <w:rPr>
                <w:bCs/>
                <w:szCs w:val="21"/>
              </w:rPr>
              <w:t xml:space="preserve">制定工艺技术规程、岗位操作法、环境治理设施操作规程等。 </w:t>
            </w:r>
          </w:p>
          <w:p>
            <w:pPr>
              <w:spacing w:line="480" w:lineRule="exact"/>
              <w:ind w:firstLine="420" w:firstLineChars="200"/>
              <w:rPr>
                <w:bCs/>
                <w:szCs w:val="21"/>
              </w:rPr>
            </w:pPr>
            <w:r>
              <w:rPr>
                <w:rFonts w:hint="eastAsia" w:ascii="宋体" w:hAnsi="宋体" w:cs="宋体"/>
                <w:bCs/>
                <w:szCs w:val="21"/>
              </w:rPr>
              <w:t>②</w:t>
            </w:r>
            <w:r>
              <w:rPr>
                <w:bCs/>
                <w:szCs w:val="21"/>
              </w:rPr>
              <w:t xml:space="preserve">制定安全生产管理制度和环境管理制度。 </w:t>
            </w:r>
          </w:p>
          <w:p>
            <w:pPr>
              <w:spacing w:line="480" w:lineRule="exact"/>
              <w:ind w:firstLine="420" w:firstLineChars="200"/>
              <w:rPr>
                <w:bCs/>
                <w:szCs w:val="21"/>
              </w:rPr>
            </w:pPr>
            <w:r>
              <w:rPr>
                <w:rFonts w:hint="eastAsia" w:ascii="宋体" w:hAnsi="宋体" w:cs="宋体"/>
                <w:bCs/>
                <w:szCs w:val="21"/>
              </w:rPr>
              <w:t>③</w:t>
            </w:r>
            <w:r>
              <w:rPr>
                <w:bCs/>
                <w:szCs w:val="21"/>
              </w:rPr>
              <w:t xml:space="preserve">操作人员严格执行公司制定的生产工艺规程、岗位操作法及各项管理制度。为避免人为操作因素导致的非正常排放情况的发生，加强对员工的日常培训工作，主要培训内容包括安全生产操作规程、三废污染防治措施等。 </w:t>
            </w:r>
          </w:p>
          <w:p>
            <w:pPr>
              <w:spacing w:line="480" w:lineRule="exact"/>
              <w:ind w:firstLine="420" w:firstLineChars="200"/>
              <w:rPr>
                <w:bCs/>
                <w:szCs w:val="21"/>
              </w:rPr>
            </w:pPr>
            <w:r>
              <w:rPr>
                <w:rFonts w:hint="eastAsia" w:ascii="宋体" w:hAnsi="宋体" w:cs="宋体"/>
                <w:bCs/>
                <w:szCs w:val="21"/>
              </w:rPr>
              <w:t>④</w:t>
            </w:r>
            <w:r>
              <w:rPr>
                <w:bCs/>
                <w:szCs w:val="21"/>
              </w:rPr>
              <w:t xml:space="preserve">定时巡检，做好台账表。 </w:t>
            </w:r>
          </w:p>
          <w:p>
            <w:pPr>
              <w:spacing w:line="480" w:lineRule="exact"/>
              <w:ind w:firstLine="420" w:firstLineChars="200"/>
              <w:rPr>
                <w:bCs/>
                <w:szCs w:val="21"/>
              </w:rPr>
            </w:pPr>
            <w:r>
              <w:rPr>
                <w:rFonts w:hint="eastAsia" w:ascii="宋体" w:hAnsi="宋体" w:cs="宋体"/>
                <w:bCs/>
                <w:szCs w:val="21"/>
              </w:rPr>
              <w:t>⑤</w:t>
            </w:r>
            <w:r>
              <w:rPr>
                <w:bCs/>
                <w:szCs w:val="21"/>
              </w:rPr>
              <w:t>加强对生产设备和废气处理设施的保养和维护，确保各设施正常运转。</w:t>
            </w:r>
          </w:p>
          <w:p>
            <w:pPr>
              <w:spacing w:line="480" w:lineRule="exact"/>
              <w:ind w:firstLine="420" w:firstLineChars="200"/>
              <w:rPr>
                <w:bCs/>
                <w:szCs w:val="21"/>
              </w:rPr>
            </w:pPr>
            <w:r>
              <w:rPr>
                <w:bCs/>
                <w:szCs w:val="21"/>
              </w:rPr>
              <w:t xml:space="preserve">（2）原辅料储存风险防范措施 </w:t>
            </w:r>
          </w:p>
          <w:p>
            <w:pPr>
              <w:spacing w:line="480" w:lineRule="exact"/>
              <w:ind w:firstLine="420" w:firstLineChars="200"/>
              <w:rPr>
                <w:bCs/>
                <w:szCs w:val="21"/>
              </w:rPr>
            </w:pPr>
            <w:r>
              <w:rPr>
                <w:rFonts w:hint="eastAsia" w:ascii="宋体" w:hAnsi="宋体" w:cs="宋体"/>
                <w:bCs/>
                <w:szCs w:val="21"/>
              </w:rPr>
              <w:t>①</w:t>
            </w:r>
            <w:r>
              <w:rPr>
                <w:bCs/>
                <w:szCs w:val="21"/>
              </w:rPr>
              <w:t xml:space="preserve">项目原料储存需符合储存原辅料的相关贮存条件（如防晒、防潮、通风、防雷、防静电等）。 </w:t>
            </w:r>
          </w:p>
          <w:p>
            <w:pPr>
              <w:spacing w:line="480" w:lineRule="exact"/>
              <w:ind w:firstLine="420" w:firstLineChars="200"/>
              <w:rPr>
                <w:bCs/>
                <w:szCs w:val="21"/>
              </w:rPr>
            </w:pPr>
            <w:r>
              <w:rPr>
                <w:rFonts w:hint="eastAsia" w:ascii="宋体" w:hAnsi="宋体" w:cs="宋体"/>
                <w:bCs/>
                <w:szCs w:val="21"/>
              </w:rPr>
              <w:t>②</w:t>
            </w:r>
            <w:r>
              <w:rPr>
                <w:bCs/>
                <w:szCs w:val="21"/>
              </w:rPr>
              <w:t xml:space="preserve">建立健全安全规程及值勤制度，设置通讯、报警装置，确保原材料储存时处于完好状态。 </w:t>
            </w:r>
          </w:p>
          <w:p>
            <w:pPr>
              <w:spacing w:line="480" w:lineRule="exact"/>
              <w:ind w:firstLine="420" w:firstLineChars="200"/>
              <w:rPr>
                <w:bCs/>
                <w:szCs w:val="21"/>
              </w:rPr>
            </w:pPr>
            <w:r>
              <w:rPr>
                <w:rFonts w:hint="eastAsia" w:ascii="宋体" w:hAnsi="宋体" w:cs="宋体"/>
                <w:bCs/>
                <w:szCs w:val="21"/>
              </w:rPr>
              <w:t>③</w:t>
            </w:r>
            <w:r>
              <w:rPr>
                <w:bCs/>
                <w:szCs w:val="21"/>
              </w:rPr>
              <w:t>对使用危险化学品的名称、数量进行严格登记。</w:t>
            </w:r>
          </w:p>
          <w:p>
            <w:pPr>
              <w:spacing w:line="480" w:lineRule="exact"/>
              <w:ind w:firstLine="420" w:firstLineChars="200"/>
              <w:rPr>
                <w:bCs/>
                <w:szCs w:val="21"/>
              </w:rPr>
            </w:pPr>
            <w:r>
              <w:rPr>
                <w:rFonts w:hint="eastAsia" w:ascii="宋体" w:hAnsi="宋体" w:cs="宋体"/>
                <w:bCs/>
                <w:szCs w:val="21"/>
              </w:rPr>
              <w:t>④</w:t>
            </w:r>
            <w:r>
              <w:rPr>
                <w:bCs/>
                <w:szCs w:val="21"/>
              </w:rPr>
              <w:t xml:space="preserve">凡储存、使用危险化学品的岗位，都应配置合格的防毒器材、消防器材，并确保其处于完好状态。 </w:t>
            </w:r>
          </w:p>
          <w:p>
            <w:pPr>
              <w:spacing w:line="480" w:lineRule="exact"/>
              <w:ind w:firstLine="420" w:firstLineChars="200"/>
              <w:rPr>
                <w:bCs/>
                <w:szCs w:val="21"/>
              </w:rPr>
            </w:pPr>
            <w:r>
              <w:rPr>
                <w:rFonts w:hint="eastAsia" w:ascii="宋体" w:hAnsi="宋体" w:cs="宋体"/>
                <w:bCs/>
                <w:szCs w:val="21"/>
              </w:rPr>
              <w:t>⑤</w:t>
            </w:r>
            <w:r>
              <w:rPr>
                <w:bCs/>
                <w:szCs w:val="21"/>
              </w:rPr>
              <w:t xml:space="preserve">所有进入储存、使用危险化学品的人员，都必须严格遵守《危险化学品管理制度》。应严格按《危险化学品安全管理条例》的要求，加强对危险化学品的管理；制定危险化学品安全操作规程，要求操作人员严格按操作规程作业；对从事危险化学作业人员定期进行安全培训教育。 </w:t>
            </w:r>
          </w:p>
          <w:p>
            <w:pPr>
              <w:spacing w:line="480" w:lineRule="exact"/>
              <w:ind w:firstLine="420" w:firstLineChars="200"/>
              <w:rPr>
                <w:bCs/>
                <w:szCs w:val="21"/>
              </w:rPr>
            </w:pPr>
            <w:r>
              <w:rPr>
                <w:bCs/>
                <w:szCs w:val="21"/>
              </w:rPr>
              <w:t>（3）危废暂存风险防范措施</w:t>
            </w:r>
          </w:p>
          <w:p>
            <w:pPr>
              <w:spacing w:line="480" w:lineRule="exact"/>
              <w:ind w:firstLine="420" w:firstLineChars="200"/>
              <w:rPr>
                <w:bCs/>
                <w:szCs w:val="21"/>
              </w:rPr>
            </w:pPr>
            <w:r>
              <w:rPr>
                <w:rFonts w:hint="eastAsia" w:ascii="宋体" w:hAnsi="宋体" w:cs="宋体"/>
                <w:bCs/>
                <w:szCs w:val="21"/>
              </w:rPr>
              <w:t>①</w:t>
            </w:r>
            <w:r>
              <w:rPr>
                <w:bCs/>
                <w:szCs w:val="21"/>
              </w:rPr>
              <w:t xml:space="preserve">项目产生的废活性炭等拟暂存于危废仓库中，仓库设置应满足国家标准和规范，满足防渗、防漏、防腐、防雨、防火等防范措施要求。 </w:t>
            </w:r>
          </w:p>
          <w:p>
            <w:pPr>
              <w:spacing w:line="480" w:lineRule="exact"/>
              <w:ind w:firstLine="420" w:firstLineChars="200"/>
              <w:rPr>
                <w:bCs/>
                <w:szCs w:val="21"/>
              </w:rPr>
            </w:pPr>
            <w:r>
              <w:rPr>
                <w:rFonts w:hint="eastAsia" w:ascii="宋体" w:hAnsi="宋体" w:cs="宋体"/>
                <w:bCs/>
                <w:szCs w:val="21"/>
              </w:rPr>
              <w:t>②</w:t>
            </w:r>
            <w:r>
              <w:rPr>
                <w:bCs/>
                <w:szCs w:val="21"/>
              </w:rPr>
              <w:t xml:space="preserve">在暂存场所内，各危险废物种类必须分类储存，并设置相应的标签，标明危废的来源，具体的成分，主要成分的性质和泄漏、火灾等处置方式，不得混合储存，各储存分区之间必须设置相应的防护距离，防止发生连锁反应。 </w:t>
            </w:r>
          </w:p>
          <w:p>
            <w:pPr>
              <w:spacing w:line="480" w:lineRule="exact"/>
              <w:ind w:firstLine="420" w:firstLineChars="200"/>
              <w:rPr>
                <w:bCs/>
                <w:szCs w:val="21"/>
              </w:rPr>
            </w:pPr>
            <w:r>
              <w:rPr>
                <w:rFonts w:hint="eastAsia" w:ascii="宋体" w:hAnsi="宋体" w:cs="宋体"/>
                <w:bCs/>
                <w:szCs w:val="21"/>
              </w:rPr>
              <w:t>③</w:t>
            </w:r>
            <w:r>
              <w:rPr>
                <w:bCs/>
                <w:szCs w:val="21"/>
              </w:rPr>
              <w:t xml:space="preserve">设置负责危险废物管理的监控部门或者专（兼）职人员，负责检查、督促、落实本项目危险废物的管理工作，建立危险废物管理责任制。制定并落实相应的规章制度、工作程序和要求、有关人员的工作职责。对本项目从事危险废物收集、运送、贮存等工作的人员和管理人员，进行相关法律和专业技术、安全防护以及紧急处理等知识的培训。 </w:t>
            </w:r>
          </w:p>
          <w:p>
            <w:pPr>
              <w:spacing w:line="480" w:lineRule="exact"/>
              <w:ind w:firstLine="420" w:firstLineChars="200"/>
              <w:rPr>
                <w:bCs/>
                <w:szCs w:val="21"/>
              </w:rPr>
            </w:pPr>
            <w:r>
              <w:rPr>
                <w:bCs/>
                <w:szCs w:val="21"/>
              </w:rPr>
              <w:t xml:space="preserve">（4）其他风险防范措施 </w:t>
            </w:r>
          </w:p>
          <w:p>
            <w:pPr>
              <w:spacing w:line="480" w:lineRule="exact"/>
              <w:ind w:firstLine="420" w:firstLineChars="200"/>
              <w:rPr>
                <w:bCs/>
                <w:szCs w:val="21"/>
              </w:rPr>
            </w:pPr>
            <w:r>
              <w:rPr>
                <w:rFonts w:hint="eastAsia" w:ascii="宋体" w:hAnsi="宋体" w:cs="宋体"/>
                <w:bCs/>
                <w:szCs w:val="21"/>
              </w:rPr>
              <w:t>①</w:t>
            </w:r>
            <w:r>
              <w:rPr>
                <w:bCs/>
                <w:szCs w:val="21"/>
              </w:rPr>
              <w:t xml:space="preserve">对于本项目涉及的易燃原辅料，建议企业定期进行应急演练。运营过程中应要求操作人员严格按操作规程作业，对从事风险物质作业人员定期进行安全培训教育。经常性对原辅料仓库、危废暂存间等进行安全检查。生产区域严禁吸烟及使用明火，保持良好的通风。加强对废气收集处理系统的维护和检修，使其处于良好的运行状态，并且需加强管理，一旦出现异常现象应停止运作，从根源上切断污染，查处异常原因，事故发生后应在最短的时间内排除故障，确保对周围环境的影响降到最低。 </w:t>
            </w:r>
          </w:p>
          <w:p>
            <w:pPr>
              <w:spacing w:line="480" w:lineRule="exact"/>
              <w:ind w:firstLine="420" w:firstLineChars="200"/>
              <w:rPr>
                <w:bCs/>
                <w:szCs w:val="21"/>
              </w:rPr>
            </w:pPr>
            <w:r>
              <w:rPr>
                <w:rFonts w:hint="eastAsia" w:ascii="宋体" w:hAnsi="宋体" w:cs="宋体"/>
                <w:bCs/>
                <w:szCs w:val="21"/>
              </w:rPr>
              <w:t>②</w:t>
            </w:r>
            <w:r>
              <w:rPr>
                <w:bCs/>
                <w:szCs w:val="21"/>
              </w:rPr>
              <w:t>制定电气运行和操作的巡回检查制度、检修制度、运行安全操作规程等各项规章制度。加强人员技术培训，电气维修人员必须经过培训，取得特种作业操作证后，方可上岗。</w:t>
            </w:r>
          </w:p>
          <w:p>
            <w:pPr>
              <w:spacing w:line="470" w:lineRule="exact"/>
              <w:ind w:firstLine="420" w:firstLineChars="200"/>
              <w:rPr>
                <w:bCs/>
                <w:szCs w:val="21"/>
              </w:rPr>
            </w:pPr>
            <w:r>
              <w:rPr>
                <w:rFonts w:hint="eastAsia" w:ascii="宋体" w:hAnsi="宋体" w:cs="宋体"/>
                <w:bCs/>
                <w:szCs w:val="21"/>
              </w:rPr>
              <w:t>③</w:t>
            </w:r>
            <w:r>
              <w:rPr>
                <w:bCs/>
                <w:szCs w:val="21"/>
              </w:rPr>
              <w:t>企业需对照《关于做好生态环境和应急管理部门联动工作的意见》（苏环办〔2020〕101 号），对环境治理设施开展安全风险辨识管控，要健全内部污染防治设施稳定运行和管理责任制度，严格依据标准规范建设环境治理设施，确保环境治理设施安全、稳定、有效运行。</w:t>
            </w:r>
          </w:p>
          <w:p>
            <w:pPr>
              <w:spacing w:line="470" w:lineRule="exact"/>
              <w:ind w:firstLine="420" w:firstLineChars="200"/>
              <w:rPr>
                <w:bCs/>
                <w:szCs w:val="21"/>
              </w:rPr>
            </w:pPr>
            <w:r>
              <w:rPr>
                <w:bCs/>
                <w:szCs w:val="21"/>
              </w:rPr>
              <w:t>5、评价结论</w:t>
            </w:r>
          </w:p>
          <w:p>
            <w:pPr>
              <w:widowControl/>
              <w:adjustRightInd w:val="0"/>
              <w:spacing w:line="470" w:lineRule="exact"/>
              <w:ind w:firstLine="420" w:firstLineChars="200"/>
              <w:jc w:val="left"/>
              <w:rPr>
                <w:szCs w:val="21"/>
              </w:rPr>
            </w:pPr>
            <w:r>
              <w:rPr>
                <w:kern w:val="0"/>
                <w:szCs w:val="21"/>
                <w:lang w:bidi="ar"/>
              </w:rPr>
              <w:t>建设项目经判定，危险物质数量与临界量比值 Q＜1，环境风险潜势为 I，本次风险评级工作等级为简单分析。项目在</w:t>
            </w:r>
            <w:r>
              <w:rPr>
                <w:bCs/>
                <w:szCs w:val="21"/>
              </w:rPr>
              <w:t>采取上述风险防范措施后，本项目的环境风险控制在可接受水平内。</w:t>
            </w:r>
          </w:p>
          <w:p>
            <w:pPr>
              <w:spacing w:line="440" w:lineRule="exact"/>
              <w:jc w:val="center"/>
              <w:rPr>
                <w:sz w:val="18"/>
                <w:szCs w:val="18"/>
              </w:rPr>
            </w:pPr>
            <w:r>
              <w:rPr>
                <w:b/>
                <w:bCs/>
                <w:sz w:val="18"/>
                <w:szCs w:val="18"/>
              </w:rPr>
              <w:t>表4-34  建设项目环境风险简单分析内容表</w:t>
            </w:r>
          </w:p>
          <w:tbl>
            <w:tblPr>
              <w:tblStyle w:val="21"/>
              <w:tblW w:w="7942"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864"/>
              <w:gridCol w:w="1751"/>
              <w:gridCol w:w="939"/>
              <w:gridCol w:w="300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2" w:type="dxa"/>
                  <w:noWrap w:val="0"/>
                  <w:vAlign w:val="center"/>
                </w:tcPr>
                <w:p>
                  <w:pPr>
                    <w:jc w:val="center"/>
                    <w:rPr>
                      <w:sz w:val="18"/>
                      <w:szCs w:val="18"/>
                    </w:rPr>
                  </w:pPr>
                  <w:r>
                    <w:rPr>
                      <w:sz w:val="18"/>
                      <w:szCs w:val="18"/>
                    </w:rPr>
                    <w:t>建设项目名称</w:t>
                  </w:r>
                </w:p>
              </w:tc>
              <w:tc>
                <w:tcPr>
                  <w:tcW w:w="6560" w:type="dxa"/>
                  <w:gridSpan w:val="4"/>
                  <w:noWrap w:val="0"/>
                  <w:vAlign w:val="center"/>
                </w:tcPr>
                <w:p>
                  <w:pPr>
                    <w:jc w:val="center"/>
                    <w:rPr>
                      <w:sz w:val="18"/>
                      <w:szCs w:val="18"/>
                    </w:rPr>
                  </w:pPr>
                  <w:r>
                    <w:rPr>
                      <w:rFonts w:hint="eastAsia"/>
                      <w:sz w:val="18"/>
                      <w:szCs w:val="18"/>
                      <w:lang w:eastAsia="zh-CN"/>
                    </w:rPr>
                    <w:t>年产300万只医疗器械用塑料包装袋项目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2" w:type="dxa"/>
                  <w:noWrap w:val="0"/>
                  <w:vAlign w:val="center"/>
                </w:tcPr>
                <w:p>
                  <w:pPr>
                    <w:jc w:val="center"/>
                    <w:rPr>
                      <w:sz w:val="18"/>
                      <w:szCs w:val="18"/>
                    </w:rPr>
                  </w:pPr>
                  <w:r>
                    <w:rPr>
                      <w:sz w:val="18"/>
                      <w:szCs w:val="18"/>
                    </w:rPr>
                    <w:t>建设地点</w:t>
                  </w:r>
                </w:p>
              </w:tc>
              <w:tc>
                <w:tcPr>
                  <w:tcW w:w="864" w:type="dxa"/>
                  <w:noWrap w:val="0"/>
                  <w:vAlign w:val="center"/>
                </w:tcPr>
                <w:p>
                  <w:pPr>
                    <w:jc w:val="center"/>
                    <w:rPr>
                      <w:sz w:val="18"/>
                      <w:szCs w:val="18"/>
                    </w:rPr>
                  </w:pPr>
                  <w:r>
                    <w:rPr>
                      <w:sz w:val="18"/>
                      <w:szCs w:val="18"/>
                    </w:rPr>
                    <w:t>（江苏）省</w:t>
                  </w:r>
                </w:p>
              </w:tc>
              <w:tc>
                <w:tcPr>
                  <w:tcW w:w="1751" w:type="dxa"/>
                  <w:noWrap w:val="0"/>
                  <w:vAlign w:val="center"/>
                </w:tcPr>
                <w:p>
                  <w:pPr>
                    <w:jc w:val="center"/>
                    <w:rPr>
                      <w:sz w:val="18"/>
                      <w:szCs w:val="18"/>
                    </w:rPr>
                  </w:pPr>
                  <w:r>
                    <w:rPr>
                      <w:sz w:val="18"/>
                      <w:szCs w:val="18"/>
                    </w:rPr>
                    <w:t>（常州）市</w:t>
                  </w:r>
                </w:p>
              </w:tc>
              <w:tc>
                <w:tcPr>
                  <w:tcW w:w="939" w:type="dxa"/>
                  <w:noWrap w:val="0"/>
                  <w:vAlign w:val="center"/>
                </w:tcPr>
                <w:p>
                  <w:pPr>
                    <w:jc w:val="center"/>
                    <w:rPr>
                      <w:sz w:val="18"/>
                      <w:szCs w:val="18"/>
                    </w:rPr>
                  </w:pPr>
                  <w:r>
                    <w:rPr>
                      <w:sz w:val="18"/>
                      <w:szCs w:val="18"/>
                    </w:rPr>
                    <w:t>（</w:t>
                  </w:r>
                  <w:r>
                    <w:rPr>
                      <w:rFonts w:hint="eastAsia"/>
                      <w:sz w:val="18"/>
                      <w:szCs w:val="18"/>
                      <w:lang w:val="en-US" w:eastAsia="zh-CN"/>
                    </w:rPr>
                    <w:t>武进</w:t>
                  </w:r>
                  <w:r>
                    <w:rPr>
                      <w:sz w:val="18"/>
                      <w:szCs w:val="18"/>
                    </w:rPr>
                    <w:t>）区</w:t>
                  </w:r>
                </w:p>
              </w:tc>
              <w:tc>
                <w:tcPr>
                  <w:tcW w:w="3006" w:type="dxa"/>
                  <w:noWrap w:val="0"/>
                  <w:vAlign w:val="center"/>
                </w:tcPr>
                <w:p>
                  <w:pPr>
                    <w:jc w:val="center"/>
                    <w:rPr>
                      <w:sz w:val="18"/>
                      <w:szCs w:val="18"/>
                    </w:rPr>
                  </w:pPr>
                  <w:r>
                    <w:rPr>
                      <w:sz w:val="18"/>
                      <w:szCs w:val="18"/>
                    </w:rPr>
                    <w:t>国家高新技术产业开发区</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2" w:type="dxa"/>
                  <w:noWrap w:val="0"/>
                  <w:vAlign w:val="center"/>
                </w:tcPr>
                <w:p>
                  <w:pPr>
                    <w:jc w:val="center"/>
                    <w:rPr>
                      <w:sz w:val="18"/>
                      <w:szCs w:val="18"/>
                    </w:rPr>
                  </w:pPr>
                  <w:r>
                    <w:rPr>
                      <w:sz w:val="18"/>
                      <w:szCs w:val="18"/>
                    </w:rPr>
                    <w:t>地理坐标</w:t>
                  </w:r>
                </w:p>
              </w:tc>
              <w:tc>
                <w:tcPr>
                  <w:tcW w:w="864" w:type="dxa"/>
                  <w:noWrap w:val="0"/>
                  <w:vAlign w:val="center"/>
                </w:tcPr>
                <w:p>
                  <w:pPr>
                    <w:jc w:val="center"/>
                    <w:rPr>
                      <w:sz w:val="18"/>
                      <w:szCs w:val="18"/>
                    </w:rPr>
                  </w:pPr>
                  <w:r>
                    <w:rPr>
                      <w:sz w:val="18"/>
                      <w:szCs w:val="18"/>
                    </w:rPr>
                    <w:t>经度</w:t>
                  </w:r>
                </w:p>
              </w:tc>
              <w:tc>
                <w:tcPr>
                  <w:tcW w:w="1751" w:type="dxa"/>
                  <w:noWrap w:val="0"/>
                  <w:vAlign w:val="center"/>
                </w:tcPr>
                <w:p>
                  <w:pPr>
                    <w:jc w:val="center"/>
                    <w:rPr>
                      <w:sz w:val="18"/>
                      <w:szCs w:val="18"/>
                    </w:rPr>
                  </w:pPr>
                  <w:r>
                    <w:rPr>
                      <w:sz w:val="18"/>
                      <w:szCs w:val="18"/>
                    </w:rPr>
                    <w:t>东经119°5</w:t>
                  </w:r>
                  <w:r>
                    <w:rPr>
                      <w:rFonts w:hint="eastAsia"/>
                      <w:sz w:val="18"/>
                      <w:szCs w:val="18"/>
                      <w:lang w:val="en-US" w:eastAsia="zh-CN"/>
                    </w:rPr>
                    <w:t>8</w:t>
                  </w:r>
                  <w:r>
                    <w:rPr>
                      <w:sz w:val="18"/>
                      <w:szCs w:val="18"/>
                    </w:rPr>
                    <w:t>'</w:t>
                  </w:r>
                  <w:r>
                    <w:rPr>
                      <w:rFonts w:hint="eastAsia"/>
                      <w:sz w:val="18"/>
                      <w:szCs w:val="18"/>
                      <w:lang w:val="en-US" w:eastAsia="zh-CN"/>
                    </w:rPr>
                    <w:t>39.118</w:t>
                  </w:r>
                  <w:r>
                    <w:rPr>
                      <w:sz w:val="18"/>
                      <w:szCs w:val="18"/>
                    </w:rPr>
                    <w:t>"</w:t>
                  </w:r>
                </w:p>
              </w:tc>
              <w:tc>
                <w:tcPr>
                  <w:tcW w:w="939" w:type="dxa"/>
                  <w:noWrap w:val="0"/>
                  <w:vAlign w:val="center"/>
                </w:tcPr>
                <w:p>
                  <w:pPr>
                    <w:jc w:val="center"/>
                    <w:rPr>
                      <w:sz w:val="18"/>
                      <w:szCs w:val="18"/>
                    </w:rPr>
                  </w:pPr>
                  <w:r>
                    <w:rPr>
                      <w:sz w:val="18"/>
                      <w:szCs w:val="18"/>
                    </w:rPr>
                    <w:t>纬度</w:t>
                  </w:r>
                </w:p>
              </w:tc>
              <w:tc>
                <w:tcPr>
                  <w:tcW w:w="3006" w:type="dxa"/>
                  <w:noWrap w:val="0"/>
                  <w:vAlign w:val="center"/>
                </w:tcPr>
                <w:p>
                  <w:pPr>
                    <w:jc w:val="center"/>
                    <w:rPr>
                      <w:sz w:val="18"/>
                      <w:szCs w:val="18"/>
                    </w:rPr>
                  </w:pPr>
                  <w:r>
                    <w:rPr>
                      <w:sz w:val="18"/>
                      <w:szCs w:val="18"/>
                    </w:rPr>
                    <w:t>北纬31°</w:t>
                  </w:r>
                  <w:r>
                    <w:rPr>
                      <w:rFonts w:hint="eastAsia"/>
                      <w:sz w:val="18"/>
                      <w:szCs w:val="18"/>
                      <w:lang w:val="en-US" w:eastAsia="zh-CN"/>
                    </w:rPr>
                    <w:t>38</w:t>
                  </w:r>
                  <w:r>
                    <w:rPr>
                      <w:sz w:val="18"/>
                      <w:szCs w:val="18"/>
                    </w:rPr>
                    <w:t>'</w:t>
                  </w:r>
                  <w:r>
                    <w:rPr>
                      <w:rFonts w:hint="eastAsia"/>
                      <w:sz w:val="18"/>
                      <w:szCs w:val="18"/>
                      <w:lang w:val="en-US" w:eastAsia="zh-CN"/>
                    </w:rPr>
                    <w:t>14.288</w:t>
                  </w:r>
                  <w:r>
                    <w:rPr>
                      <w:sz w:val="18"/>
                      <w:szCs w:val="18"/>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2" w:type="dxa"/>
                  <w:noWrap w:val="0"/>
                  <w:vAlign w:val="center"/>
                </w:tcPr>
                <w:p>
                  <w:pPr>
                    <w:jc w:val="center"/>
                    <w:rPr>
                      <w:sz w:val="18"/>
                      <w:szCs w:val="18"/>
                    </w:rPr>
                  </w:pPr>
                  <w:r>
                    <w:rPr>
                      <w:sz w:val="18"/>
                      <w:szCs w:val="18"/>
                    </w:rPr>
                    <w:t>主要危险物质分布</w:t>
                  </w:r>
                </w:p>
              </w:tc>
              <w:tc>
                <w:tcPr>
                  <w:tcW w:w="6560" w:type="dxa"/>
                  <w:gridSpan w:val="4"/>
                  <w:noWrap w:val="0"/>
                  <w:vAlign w:val="center"/>
                </w:tcPr>
                <w:p>
                  <w:pPr>
                    <w:rPr>
                      <w:sz w:val="18"/>
                      <w:szCs w:val="18"/>
                    </w:rPr>
                  </w:pPr>
                  <w:r>
                    <w:rPr>
                      <w:sz w:val="18"/>
                      <w:szCs w:val="18"/>
                    </w:rPr>
                    <w:t>本项目主要风险物质为生产过程中所用的PE</w:t>
                  </w:r>
                  <w:r>
                    <w:rPr>
                      <w:rFonts w:hint="eastAsia"/>
                      <w:sz w:val="18"/>
                      <w:szCs w:val="18"/>
                      <w:lang w:val="en-US" w:eastAsia="zh-CN"/>
                    </w:rPr>
                    <w:t>塑料粒子</w:t>
                  </w:r>
                  <w:r>
                    <w:rPr>
                      <w:sz w:val="18"/>
                      <w:szCs w:val="18"/>
                    </w:rPr>
                    <w:t>及各类危险废物，其中PE</w:t>
                  </w:r>
                  <w:r>
                    <w:rPr>
                      <w:rFonts w:hint="eastAsia"/>
                      <w:sz w:val="18"/>
                      <w:szCs w:val="18"/>
                      <w:lang w:val="en-US" w:eastAsia="zh-CN"/>
                    </w:rPr>
                    <w:t>塑料粒子</w:t>
                  </w:r>
                  <w:r>
                    <w:rPr>
                      <w:sz w:val="18"/>
                      <w:szCs w:val="18"/>
                    </w:rPr>
                    <w:t>由供应商运输至厂内后存放在厂区内原料仓库，危险废物暂存在危废仓库中。</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2" w:type="dxa"/>
                  <w:noWrap w:val="0"/>
                  <w:vAlign w:val="center"/>
                </w:tcPr>
                <w:p>
                  <w:pPr>
                    <w:jc w:val="center"/>
                    <w:rPr>
                      <w:sz w:val="18"/>
                      <w:szCs w:val="18"/>
                    </w:rPr>
                  </w:pPr>
                  <w:r>
                    <w:rPr>
                      <w:sz w:val="18"/>
                      <w:szCs w:val="18"/>
                    </w:rPr>
                    <w:t>环境影响途径及危害后果</w:t>
                  </w:r>
                </w:p>
              </w:tc>
              <w:tc>
                <w:tcPr>
                  <w:tcW w:w="6560" w:type="dxa"/>
                  <w:gridSpan w:val="4"/>
                  <w:noWrap w:val="0"/>
                  <w:vAlign w:val="center"/>
                </w:tcPr>
                <w:p>
                  <w:pPr>
                    <w:rPr>
                      <w:sz w:val="18"/>
                      <w:szCs w:val="18"/>
                    </w:rPr>
                  </w:pPr>
                  <w:r>
                    <w:rPr>
                      <w:sz w:val="18"/>
                      <w:szCs w:val="18"/>
                    </w:rPr>
                    <w:t>有毒有害物质和</w:t>
                  </w:r>
                  <w:r>
                    <w:rPr>
                      <w:rFonts w:hint="eastAsia"/>
                      <w:sz w:val="18"/>
                      <w:szCs w:val="18"/>
                      <w:lang w:val="en-US" w:eastAsia="zh-CN"/>
                    </w:rPr>
                    <w:t>危废</w:t>
                  </w:r>
                  <w:r>
                    <w:rPr>
                      <w:sz w:val="18"/>
                      <w:szCs w:val="18"/>
                    </w:rPr>
                    <w:t>泄漏，对周围大气环境和水环境的影响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382" w:type="dxa"/>
                  <w:noWrap w:val="0"/>
                  <w:vAlign w:val="center"/>
                </w:tcPr>
                <w:p>
                  <w:pPr>
                    <w:jc w:val="center"/>
                    <w:rPr>
                      <w:sz w:val="18"/>
                      <w:szCs w:val="18"/>
                    </w:rPr>
                  </w:pPr>
                  <w:r>
                    <w:rPr>
                      <w:sz w:val="18"/>
                      <w:szCs w:val="18"/>
                    </w:rPr>
                    <w:t>风险防控措施要求</w:t>
                  </w:r>
                </w:p>
              </w:tc>
              <w:tc>
                <w:tcPr>
                  <w:tcW w:w="6560" w:type="dxa"/>
                  <w:gridSpan w:val="4"/>
                  <w:noWrap w:val="0"/>
                  <w:vAlign w:val="center"/>
                </w:tcPr>
                <w:p>
                  <w:pPr>
                    <w:rPr>
                      <w:sz w:val="18"/>
                      <w:szCs w:val="18"/>
                    </w:rPr>
                  </w:pPr>
                  <w:r>
                    <w:rPr>
                      <w:rFonts w:hint="eastAsia" w:ascii="宋体" w:hAnsi="宋体" w:cs="宋体"/>
                      <w:sz w:val="18"/>
                      <w:szCs w:val="18"/>
                    </w:rPr>
                    <w:t>①</w:t>
                  </w:r>
                  <w:r>
                    <w:rPr>
                      <w:sz w:val="18"/>
                      <w:szCs w:val="18"/>
                    </w:rPr>
                    <w:t xml:space="preserve">设计、建造、施工安装要科学、合理、保证质量，严格执行有关安全规程、规范和标准，同时加强管理，提高管理和操作人员的素质和水平，把好设计、设备选购、建造和施工安装的关。 </w:t>
                  </w:r>
                </w:p>
                <w:p>
                  <w:pPr>
                    <w:rPr>
                      <w:sz w:val="18"/>
                      <w:szCs w:val="18"/>
                    </w:rPr>
                  </w:pPr>
                  <w:r>
                    <w:rPr>
                      <w:sz w:val="18"/>
                      <w:szCs w:val="18"/>
                    </w:rPr>
                    <w:t>严密制订防范措施以保证系统运行的安全性，减少事故的发生，使事故发生的概率最小；并拟订应急计划，一旦发生事故时，有充分的应对能力，以遏制和控制事故危害的扩大，及时控制危害物向环境流失、扩散有害物质，抢救受害人员，指导防护和撤离，组织救援，减少影响。</w:t>
                  </w:r>
                </w:p>
                <w:p>
                  <w:pPr>
                    <w:rPr>
                      <w:sz w:val="18"/>
                      <w:szCs w:val="18"/>
                    </w:rPr>
                  </w:pPr>
                  <w:r>
                    <w:rPr>
                      <w:rFonts w:hint="eastAsia" w:ascii="宋体" w:hAnsi="宋体" w:cs="宋体"/>
                      <w:sz w:val="18"/>
                      <w:szCs w:val="18"/>
                    </w:rPr>
                    <w:t>②</w:t>
                  </w:r>
                  <w:r>
                    <w:rPr>
                      <w:sz w:val="18"/>
                      <w:szCs w:val="18"/>
                    </w:rPr>
                    <w:t>严格环境管理，加强环保设施的养护，对其定期进行检查和维修，确保环保设施正常运行，尽量降低由于环保措施损坏而导致污染物污染环境引起事故可能性。</w:t>
                  </w:r>
                </w:p>
                <w:p>
                  <w:pPr>
                    <w:rPr>
                      <w:sz w:val="18"/>
                      <w:szCs w:val="18"/>
                    </w:rPr>
                  </w:pPr>
                  <w:r>
                    <w:rPr>
                      <w:rFonts w:hint="eastAsia" w:ascii="宋体" w:hAnsi="宋体" w:cs="宋体"/>
                      <w:sz w:val="18"/>
                      <w:szCs w:val="18"/>
                    </w:rPr>
                    <w:t>③</w:t>
                  </w:r>
                  <w:r>
                    <w:rPr>
                      <w:sz w:val="18"/>
                      <w:szCs w:val="18"/>
                    </w:rPr>
                    <w:t>保证废气处理装置正常运行，当废气处理装置发生故障时，将会严重影响空气质量，危害周围居民的健康。此时立即停止生产，疏散车间中人群，同时检测厂界和周围居民点空气中的颗粒物含量，必要时紧急疏散周围居民，及时维修废气处理装置。尽量将事故的危害减小到最低限度。</w:t>
                  </w:r>
                </w:p>
                <w:p>
                  <w:pPr>
                    <w:rPr>
                      <w:sz w:val="18"/>
                      <w:szCs w:val="18"/>
                    </w:rPr>
                  </w:pPr>
                  <w:r>
                    <w:rPr>
                      <w:rFonts w:hint="eastAsia" w:ascii="宋体" w:hAnsi="宋体" w:cs="宋体"/>
                      <w:sz w:val="18"/>
                      <w:szCs w:val="18"/>
                    </w:rPr>
                    <w:t>④</w:t>
                  </w:r>
                  <w:r>
                    <w:rPr>
                      <w:sz w:val="18"/>
                      <w:szCs w:val="18"/>
                    </w:rPr>
                    <w:t>制定电气运行和操作的巡回检查制度、检修制度、运行安全操作规程等各项规章制度。加强人员技术培训，电气维修人员必须经过培训，取得特种作业操作证后，方可上岗。</w:t>
                  </w:r>
                </w:p>
                <w:p>
                  <w:pPr>
                    <w:rPr>
                      <w:sz w:val="18"/>
                      <w:szCs w:val="18"/>
                    </w:rPr>
                  </w:pPr>
                  <w:r>
                    <w:rPr>
                      <w:rFonts w:hint="eastAsia" w:ascii="宋体" w:hAnsi="宋体" w:cs="宋体"/>
                      <w:sz w:val="18"/>
                      <w:szCs w:val="18"/>
                    </w:rPr>
                    <w:t>⑤</w:t>
                  </w:r>
                  <w:r>
                    <w:rPr>
                      <w:sz w:val="18"/>
                      <w:szCs w:val="18"/>
                    </w:rPr>
                    <w:t>消除点火源，严禁在有可燃粉尘的作业环境下进行动火作业或使用明火，高温热源。使用合格的防爆电</w:t>
                  </w:r>
                  <w:r>
                    <w:rPr>
                      <w:rFonts w:hint="eastAsia"/>
                      <w:sz w:val="18"/>
                      <w:szCs w:val="18"/>
                      <w:lang w:val="en-US" w:eastAsia="zh-CN"/>
                    </w:rPr>
                    <w:t>气</w:t>
                  </w:r>
                  <w:r>
                    <w:rPr>
                      <w:sz w:val="18"/>
                      <w:szCs w:val="18"/>
                    </w:rPr>
                    <w:t>设备，采取相应的防雷防静电措施，保证设备设施可靠接地，禁止作业场所违规使用可能产生火花和高温的作业工具。</w:t>
                  </w:r>
                </w:p>
                <w:p>
                  <w:pPr>
                    <w:rPr>
                      <w:sz w:val="18"/>
                      <w:szCs w:val="18"/>
                    </w:rPr>
                  </w:pPr>
                  <w:r>
                    <w:rPr>
                      <w:rFonts w:hint="eastAsia" w:ascii="宋体" w:hAnsi="宋体" w:cs="宋体"/>
                      <w:sz w:val="18"/>
                      <w:szCs w:val="18"/>
                    </w:rPr>
                    <w:t>⑥</w:t>
                  </w:r>
                  <w:r>
                    <w:rPr>
                      <w:sz w:val="18"/>
                      <w:szCs w:val="18"/>
                    </w:rPr>
                    <w:t>企业需对照《关于做好生态环境和应急管理部门联动工作的意见》（苏环办〔2020〕101 号），对环境治理设施开展安全风险辨识管控，要健全内部污染防治设施稳定运行和管理责任制度，严格依据标准规范建设环境治理设施，确保环境治理设施安全、稳定、有效运行。</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7942" w:type="dxa"/>
                  <w:gridSpan w:val="5"/>
                  <w:noWrap w:val="0"/>
                  <w:vAlign w:val="center"/>
                </w:tcPr>
                <w:p>
                  <w:pPr>
                    <w:widowControl/>
                    <w:jc w:val="left"/>
                    <w:rPr>
                      <w:sz w:val="18"/>
                      <w:szCs w:val="18"/>
                    </w:rPr>
                  </w:pPr>
                  <w:r>
                    <w:rPr>
                      <w:sz w:val="18"/>
                      <w:szCs w:val="18"/>
                    </w:rPr>
                    <w:t>填表说明（列出项目相关信息及评价说明）：本项目为塑料薄膜</w:t>
                  </w:r>
                  <w:r>
                    <w:rPr>
                      <w:rFonts w:hint="eastAsia"/>
                      <w:sz w:val="18"/>
                      <w:szCs w:val="18"/>
                      <w:lang w:eastAsia="zh-CN"/>
                    </w:rPr>
                    <w:t>制造项目</w:t>
                  </w:r>
                  <w:r>
                    <w:rPr>
                      <w:sz w:val="18"/>
                      <w:szCs w:val="18"/>
                    </w:rPr>
                    <w:t>，涉及的主要原辅材料及表2-3，生产设备详见表2-5，主要生产工艺详见建设项目工程分析章节。本项目主要风险物质为生产过程中所用的</w:t>
                  </w:r>
                  <w:r>
                    <w:rPr>
                      <w:rFonts w:hint="eastAsia"/>
                      <w:sz w:val="18"/>
                      <w:szCs w:val="18"/>
                      <w:lang w:val="en-US" w:eastAsia="zh-CN"/>
                    </w:rPr>
                    <w:t>水性油墨</w:t>
                  </w:r>
                  <w:r>
                    <w:rPr>
                      <w:sz w:val="18"/>
                      <w:szCs w:val="18"/>
                    </w:rPr>
                    <w:t>及各类危险废物。本项目风险物质数量与临界量比值Q =</w:t>
                  </w:r>
                  <w:r>
                    <w:rPr>
                      <w:rFonts w:hint="eastAsia"/>
                      <w:sz w:val="18"/>
                      <w:szCs w:val="18"/>
                      <w:lang w:val="en-US" w:eastAsia="zh-CN"/>
                    </w:rPr>
                    <w:t>0.12228</w:t>
                  </w:r>
                  <w:r>
                    <w:rPr>
                      <w:sz w:val="18"/>
                      <w:szCs w:val="18"/>
                    </w:rPr>
                    <w:t xml:space="preserve">&lt;1，则本项目环境风险潜势为Ⅰ。根据《建设项目环境风险评价技术导则》（HJ169-2018）分级判据，确定本项目风险评价做简单分析。项目在严格遵守各项安全操作规程和制度，加强安全管理的情况下，项目完工后，正常生产情况下本项目环境风险是可接受的。 </w:t>
                  </w:r>
                </w:p>
              </w:tc>
            </w:tr>
          </w:tbl>
          <w:p>
            <w:pPr>
              <w:spacing w:line="480" w:lineRule="exact"/>
              <w:ind w:firstLine="422" w:firstLineChars="200"/>
              <w:rPr>
                <w:b/>
                <w:szCs w:val="21"/>
              </w:rPr>
            </w:pPr>
            <w:r>
              <w:rPr>
                <w:b/>
                <w:szCs w:val="21"/>
              </w:rPr>
              <w:t>六、地下水、土壤污染防治措施及环境影响分析</w:t>
            </w:r>
          </w:p>
          <w:p>
            <w:pPr>
              <w:widowControl/>
              <w:spacing w:line="480" w:lineRule="exact"/>
              <w:ind w:firstLine="420" w:firstLineChars="200"/>
              <w:jc w:val="left"/>
              <w:rPr>
                <w:kern w:val="0"/>
                <w:szCs w:val="21"/>
              </w:rPr>
            </w:pPr>
            <w:r>
              <w:rPr>
                <w:kern w:val="0"/>
                <w:szCs w:val="21"/>
              </w:rPr>
              <w:t xml:space="preserve">本项目可能对地下水、土壤产生影响的主要区域在危废仓库，危废仓库属于重点防渗区，仓库内拟采取相应的防腐防渗措施。项目生产车间工艺生产区域设置简单防渗区进行地面硬化，正常生产时车间的跑冒滴漏不会下渗到地下水、土壤中。在确保各项防渗措施得以落实、加强维护和厂区环境管理的前提下，正常工况下本项目对地下水、土壤基本无渗漏，污染较小。 </w:t>
            </w:r>
          </w:p>
          <w:p>
            <w:pPr>
              <w:pStyle w:val="59"/>
              <w:spacing w:before="0" w:line="480" w:lineRule="exact"/>
              <w:ind w:firstLine="422" w:firstLineChars="200"/>
              <w:rPr>
                <w:rFonts w:eastAsia="宋体"/>
                <w:kern w:val="2"/>
                <w:sz w:val="21"/>
                <w:szCs w:val="21"/>
              </w:rPr>
            </w:pPr>
            <w:r>
              <w:rPr>
                <w:rFonts w:eastAsia="宋体"/>
                <w:kern w:val="2"/>
                <w:sz w:val="21"/>
                <w:szCs w:val="21"/>
              </w:rPr>
              <w:t>七、排污口规范化设置</w:t>
            </w:r>
          </w:p>
          <w:p>
            <w:pPr>
              <w:pStyle w:val="61"/>
              <w:widowControl/>
              <w:spacing w:line="480" w:lineRule="exact"/>
              <w:ind w:firstLine="420" w:firstLineChars="200"/>
              <w:rPr>
                <w:rFonts w:ascii="Times New Roman" w:hAnsi="Times New Roman" w:eastAsia="宋体"/>
                <w:b w:val="0"/>
                <w:kern w:val="0"/>
                <w:sz w:val="21"/>
                <w:szCs w:val="21"/>
              </w:rPr>
            </w:pPr>
            <w:r>
              <w:rPr>
                <w:rFonts w:ascii="Times New Roman" w:hAnsi="Times New Roman" w:eastAsia="宋体"/>
                <w:b w:val="0"/>
                <w:kern w:val="0"/>
                <w:sz w:val="21"/>
                <w:szCs w:val="21"/>
              </w:rPr>
              <w:t>根据《江苏省排污口设置及规范化整治管理办法》（苏环控[1997]122号）规定：凡生产经营场所集中在一个地点的单位，原则上只允许设污水和“清下水”排污口各一个；生产经营场所不在同一地点的单位，每个地点原则上只允许设一个排污口。个别单位特殊原因，其污染口设置需要超过允许数量的，须报经环保部门审核同意。排放污水的，环境保护图形标志牌原则上应设在排污口附近醒目处。本项目租赁出租方厂房进行生产，雨污水排放口依托出租方，不单独设置；项目生产过程中产生的有机废气经收集处理后通过15m高排气筒排放，废气排放口标识牌设置要求如下：</w:t>
            </w:r>
          </w:p>
          <w:p>
            <w:pPr>
              <w:spacing w:line="480" w:lineRule="exact"/>
              <w:jc w:val="center"/>
              <w:rPr>
                <w:b/>
                <w:bCs/>
                <w:szCs w:val="21"/>
              </w:rPr>
            </w:pPr>
            <w:r>
              <w:rPr>
                <w:b/>
                <w:bCs/>
                <w:sz w:val="18"/>
                <w:szCs w:val="18"/>
              </w:rPr>
              <w:t>表4-35  废气排放口、一般固废仓库环境保护图形标志</w:t>
            </w:r>
          </w:p>
          <w:tbl>
            <w:tblPr>
              <w:tblStyle w:val="21"/>
              <w:tblW w:w="7942"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58"/>
              <w:gridCol w:w="841"/>
              <w:gridCol w:w="966"/>
              <w:gridCol w:w="1025"/>
              <w:gridCol w:w="359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55" w:type="dxa"/>
                  <w:noWrap w:val="0"/>
                  <w:vAlign w:val="center"/>
                </w:tcPr>
                <w:p>
                  <w:pPr>
                    <w:jc w:val="center"/>
                    <w:rPr>
                      <w:b/>
                      <w:bCs/>
                      <w:sz w:val="18"/>
                      <w:szCs w:val="18"/>
                    </w:rPr>
                  </w:pPr>
                  <w:r>
                    <w:rPr>
                      <w:b/>
                      <w:bCs/>
                      <w:sz w:val="18"/>
                      <w:szCs w:val="18"/>
                    </w:rPr>
                    <w:t>排放口名称</w:t>
                  </w:r>
                </w:p>
              </w:tc>
              <w:tc>
                <w:tcPr>
                  <w:tcW w:w="658" w:type="dxa"/>
                  <w:noWrap w:val="0"/>
                  <w:vAlign w:val="center"/>
                </w:tcPr>
                <w:p>
                  <w:pPr>
                    <w:jc w:val="center"/>
                    <w:rPr>
                      <w:b/>
                      <w:bCs/>
                      <w:sz w:val="18"/>
                      <w:szCs w:val="18"/>
                    </w:rPr>
                  </w:pPr>
                  <w:r>
                    <w:rPr>
                      <w:b/>
                      <w:bCs/>
                      <w:sz w:val="18"/>
                      <w:szCs w:val="18"/>
                    </w:rPr>
                    <w:t>图形标志</w:t>
                  </w:r>
                </w:p>
              </w:tc>
              <w:tc>
                <w:tcPr>
                  <w:tcW w:w="841" w:type="dxa"/>
                  <w:noWrap w:val="0"/>
                  <w:vAlign w:val="center"/>
                </w:tcPr>
                <w:p>
                  <w:pPr>
                    <w:jc w:val="center"/>
                    <w:rPr>
                      <w:b/>
                      <w:bCs/>
                      <w:sz w:val="18"/>
                      <w:szCs w:val="18"/>
                    </w:rPr>
                  </w:pPr>
                  <w:r>
                    <w:rPr>
                      <w:b/>
                      <w:bCs/>
                      <w:sz w:val="18"/>
                      <w:szCs w:val="18"/>
                    </w:rPr>
                    <w:t>形状</w:t>
                  </w:r>
                </w:p>
              </w:tc>
              <w:tc>
                <w:tcPr>
                  <w:tcW w:w="966" w:type="dxa"/>
                  <w:noWrap w:val="0"/>
                  <w:vAlign w:val="center"/>
                </w:tcPr>
                <w:p>
                  <w:pPr>
                    <w:jc w:val="center"/>
                    <w:rPr>
                      <w:b/>
                      <w:bCs/>
                      <w:sz w:val="18"/>
                      <w:szCs w:val="18"/>
                    </w:rPr>
                  </w:pPr>
                  <w:r>
                    <w:rPr>
                      <w:b/>
                      <w:bCs/>
                      <w:sz w:val="18"/>
                      <w:szCs w:val="18"/>
                    </w:rPr>
                    <w:t>背景颜色</w:t>
                  </w:r>
                </w:p>
              </w:tc>
              <w:tc>
                <w:tcPr>
                  <w:tcW w:w="1025" w:type="dxa"/>
                  <w:noWrap w:val="0"/>
                  <w:vAlign w:val="center"/>
                </w:tcPr>
                <w:p>
                  <w:pPr>
                    <w:jc w:val="center"/>
                    <w:rPr>
                      <w:b/>
                      <w:bCs/>
                      <w:sz w:val="18"/>
                      <w:szCs w:val="18"/>
                    </w:rPr>
                  </w:pPr>
                  <w:r>
                    <w:rPr>
                      <w:b/>
                      <w:bCs/>
                      <w:sz w:val="18"/>
                      <w:szCs w:val="18"/>
                    </w:rPr>
                    <w:t>图形颜色</w:t>
                  </w:r>
                </w:p>
              </w:tc>
              <w:tc>
                <w:tcPr>
                  <w:tcW w:w="3597" w:type="dxa"/>
                  <w:noWrap w:val="0"/>
                  <w:vAlign w:val="center"/>
                </w:tcPr>
                <w:p>
                  <w:pPr>
                    <w:jc w:val="center"/>
                    <w:rPr>
                      <w:b/>
                      <w:bCs/>
                      <w:sz w:val="18"/>
                      <w:szCs w:val="18"/>
                    </w:rPr>
                  </w:pPr>
                  <w:r>
                    <w:rPr>
                      <w:b/>
                      <w:bCs/>
                      <w:sz w:val="18"/>
                      <w:szCs w:val="18"/>
                    </w:rPr>
                    <w:t>提示图形符号</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855" w:type="dxa"/>
                  <w:noWrap w:val="0"/>
                  <w:vAlign w:val="center"/>
                </w:tcPr>
                <w:p>
                  <w:pPr>
                    <w:jc w:val="center"/>
                    <w:rPr>
                      <w:bCs/>
                      <w:sz w:val="18"/>
                      <w:szCs w:val="18"/>
                    </w:rPr>
                  </w:pPr>
                  <w:r>
                    <w:rPr>
                      <w:bCs/>
                      <w:sz w:val="18"/>
                      <w:szCs w:val="18"/>
                    </w:rPr>
                    <w:t>废气排放口</w:t>
                  </w:r>
                </w:p>
              </w:tc>
              <w:tc>
                <w:tcPr>
                  <w:tcW w:w="658" w:type="dxa"/>
                  <w:noWrap w:val="0"/>
                  <w:vAlign w:val="center"/>
                </w:tcPr>
                <w:p>
                  <w:pPr>
                    <w:jc w:val="center"/>
                    <w:rPr>
                      <w:bCs/>
                      <w:sz w:val="18"/>
                      <w:szCs w:val="18"/>
                    </w:rPr>
                  </w:pPr>
                  <w:r>
                    <w:rPr>
                      <w:bCs/>
                      <w:sz w:val="18"/>
                      <w:szCs w:val="18"/>
                    </w:rPr>
                    <w:t>提示标志</w:t>
                  </w:r>
                </w:p>
              </w:tc>
              <w:tc>
                <w:tcPr>
                  <w:tcW w:w="841" w:type="dxa"/>
                  <w:noWrap w:val="0"/>
                  <w:vAlign w:val="center"/>
                </w:tcPr>
                <w:p>
                  <w:pPr>
                    <w:jc w:val="center"/>
                    <w:rPr>
                      <w:bCs/>
                      <w:sz w:val="18"/>
                      <w:szCs w:val="18"/>
                    </w:rPr>
                  </w:pPr>
                  <w:r>
                    <w:rPr>
                      <w:bCs/>
                      <w:sz w:val="18"/>
                      <w:szCs w:val="18"/>
                    </w:rPr>
                    <w:t>正方形边框</w:t>
                  </w:r>
                </w:p>
              </w:tc>
              <w:tc>
                <w:tcPr>
                  <w:tcW w:w="966" w:type="dxa"/>
                  <w:noWrap w:val="0"/>
                  <w:vAlign w:val="center"/>
                </w:tcPr>
                <w:p>
                  <w:pPr>
                    <w:jc w:val="center"/>
                    <w:rPr>
                      <w:bCs/>
                      <w:sz w:val="18"/>
                      <w:szCs w:val="18"/>
                    </w:rPr>
                  </w:pPr>
                  <w:r>
                    <w:rPr>
                      <w:bCs/>
                      <w:sz w:val="18"/>
                      <w:szCs w:val="18"/>
                    </w:rPr>
                    <w:t>绿色</w:t>
                  </w:r>
                </w:p>
              </w:tc>
              <w:tc>
                <w:tcPr>
                  <w:tcW w:w="1025" w:type="dxa"/>
                  <w:noWrap w:val="0"/>
                  <w:vAlign w:val="center"/>
                </w:tcPr>
                <w:p>
                  <w:pPr>
                    <w:jc w:val="center"/>
                    <w:rPr>
                      <w:bCs/>
                      <w:sz w:val="18"/>
                      <w:szCs w:val="18"/>
                    </w:rPr>
                  </w:pPr>
                  <w:r>
                    <w:rPr>
                      <w:bCs/>
                      <w:sz w:val="18"/>
                      <w:szCs w:val="18"/>
                    </w:rPr>
                    <w:t>白色</w:t>
                  </w:r>
                </w:p>
              </w:tc>
              <w:tc>
                <w:tcPr>
                  <w:tcW w:w="3597" w:type="dxa"/>
                  <w:noWrap w:val="0"/>
                  <w:vAlign w:val="center"/>
                </w:tcPr>
                <w:p>
                  <w:pPr>
                    <w:jc w:val="center"/>
                    <w:rPr>
                      <w:sz w:val="18"/>
                      <w:szCs w:val="18"/>
                    </w:rPr>
                  </w:pPr>
                  <w:r>
                    <w:rPr>
                      <w:sz w:val="18"/>
                      <w:szCs w:val="18"/>
                    </w:rPr>
                    <w:drawing>
                      <wp:inline distT="0" distB="0" distL="114300" distR="114300">
                        <wp:extent cx="1725295" cy="1057910"/>
                        <wp:effectExtent l="0" t="0" r="8255" b="8890"/>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32"/>
                                <a:srcRect b="3223"/>
                                <a:stretch>
                                  <a:fillRect/>
                                </a:stretch>
                              </pic:blipFill>
                              <pic:spPr>
                                <a:xfrm>
                                  <a:off x="0" y="0"/>
                                  <a:ext cx="1725295" cy="1057910"/>
                                </a:xfrm>
                                <a:prstGeom prst="rect">
                                  <a:avLst/>
                                </a:prstGeom>
                                <a:noFill/>
                                <a:ln>
                                  <a:noFill/>
                                </a:ln>
                              </pic:spPr>
                            </pic:pic>
                          </a:graphicData>
                        </a:graphic>
                      </wp:inline>
                    </w:drawing>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855" w:type="dxa"/>
                  <w:noWrap w:val="0"/>
                  <w:vAlign w:val="center"/>
                </w:tcPr>
                <w:p>
                  <w:pPr>
                    <w:jc w:val="center"/>
                    <w:rPr>
                      <w:bCs/>
                      <w:sz w:val="18"/>
                      <w:szCs w:val="18"/>
                    </w:rPr>
                  </w:pPr>
                  <w:r>
                    <w:rPr>
                      <w:bCs/>
                      <w:sz w:val="18"/>
                      <w:szCs w:val="18"/>
                    </w:rPr>
                    <w:t>一般固废仓库</w:t>
                  </w:r>
                </w:p>
              </w:tc>
              <w:tc>
                <w:tcPr>
                  <w:tcW w:w="658" w:type="dxa"/>
                  <w:noWrap w:val="0"/>
                  <w:vAlign w:val="center"/>
                </w:tcPr>
                <w:p>
                  <w:pPr>
                    <w:jc w:val="center"/>
                    <w:rPr>
                      <w:bCs/>
                      <w:sz w:val="18"/>
                      <w:szCs w:val="18"/>
                    </w:rPr>
                  </w:pPr>
                  <w:r>
                    <w:rPr>
                      <w:bCs/>
                      <w:sz w:val="18"/>
                      <w:szCs w:val="18"/>
                    </w:rPr>
                    <w:t>提示标志</w:t>
                  </w:r>
                </w:p>
              </w:tc>
              <w:tc>
                <w:tcPr>
                  <w:tcW w:w="841" w:type="dxa"/>
                  <w:noWrap w:val="0"/>
                  <w:vAlign w:val="center"/>
                </w:tcPr>
                <w:p>
                  <w:pPr>
                    <w:jc w:val="center"/>
                    <w:rPr>
                      <w:bCs/>
                      <w:sz w:val="18"/>
                      <w:szCs w:val="18"/>
                    </w:rPr>
                  </w:pPr>
                  <w:r>
                    <w:rPr>
                      <w:bCs/>
                      <w:sz w:val="18"/>
                      <w:szCs w:val="18"/>
                    </w:rPr>
                    <w:t>正方形边框</w:t>
                  </w:r>
                </w:p>
              </w:tc>
              <w:tc>
                <w:tcPr>
                  <w:tcW w:w="966" w:type="dxa"/>
                  <w:noWrap w:val="0"/>
                  <w:vAlign w:val="center"/>
                </w:tcPr>
                <w:p>
                  <w:pPr>
                    <w:jc w:val="center"/>
                    <w:rPr>
                      <w:bCs/>
                      <w:sz w:val="18"/>
                      <w:szCs w:val="18"/>
                    </w:rPr>
                  </w:pPr>
                  <w:r>
                    <w:rPr>
                      <w:bCs/>
                      <w:sz w:val="18"/>
                      <w:szCs w:val="18"/>
                    </w:rPr>
                    <w:t>绿色</w:t>
                  </w:r>
                </w:p>
              </w:tc>
              <w:tc>
                <w:tcPr>
                  <w:tcW w:w="1025" w:type="dxa"/>
                  <w:noWrap w:val="0"/>
                  <w:vAlign w:val="center"/>
                </w:tcPr>
                <w:p>
                  <w:pPr>
                    <w:jc w:val="center"/>
                    <w:rPr>
                      <w:bCs/>
                      <w:sz w:val="18"/>
                      <w:szCs w:val="18"/>
                    </w:rPr>
                  </w:pPr>
                  <w:r>
                    <w:rPr>
                      <w:bCs/>
                      <w:sz w:val="18"/>
                      <w:szCs w:val="18"/>
                    </w:rPr>
                    <w:t>白色</w:t>
                  </w:r>
                </w:p>
              </w:tc>
              <w:tc>
                <w:tcPr>
                  <w:tcW w:w="3597" w:type="dxa"/>
                  <w:noWrap w:val="0"/>
                  <w:vAlign w:val="center"/>
                </w:tcPr>
                <w:p>
                  <w:pPr>
                    <w:jc w:val="center"/>
                    <w:rPr>
                      <w:sz w:val="18"/>
                      <w:szCs w:val="18"/>
                    </w:rPr>
                  </w:pPr>
                  <w:r>
                    <w:rPr>
                      <w:sz w:val="18"/>
                      <w:szCs w:val="18"/>
                    </w:rPr>
                    <w:drawing>
                      <wp:inline distT="0" distB="0" distL="114300" distR="114300">
                        <wp:extent cx="1739900" cy="1071245"/>
                        <wp:effectExtent l="0" t="0" r="12700" b="14605"/>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33"/>
                                <a:stretch>
                                  <a:fillRect/>
                                </a:stretch>
                              </pic:blipFill>
                              <pic:spPr>
                                <a:xfrm>
                                  <a:off x="0" y="0"/>
                                  <a:ext cx="1739900" cy="1071245"/>
                                </a:xfrm>
                                <a:prstGeom prst="rect">
                                  <a:avLst/>
                                </a:prstGeom>
                                <a:noFill/>
                                <a:ln>
                                  <a:noFill/>
                                </a:ln>
                              </pic:spPr>
                            </pic:pic>
                          </a:graphicData>
                        </a:graphic>
                      </wp:inline>
                    </w:drawing>
                  </w:r>
                </w:p>
              </w:tc>
            </w:tr>
          </w:tbl>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widowControl/>
              <w:spacing w:line="480" w:lineRule="exact"/>
              <w:ind w:firstLine="420" w:firstLineChars="200"/>
              <w:jc w:val="left"/>
              <w:rPr>
                <w:kern w:val="0"/>
                <w:szCs w:val="21"/>
              </w:rPr>
            </w:pPr>
          </w:p>
          <w:p>
            <w:pPr>
              <w:adjustRightInd w:val="0"/>
              <w:snapToGrid w:val="0"/>
              <w:spacing w:line="480" w:lineRule="exact"/>
              <w:jc w:val="left"/>
              <w:rPr>
                <w:bCs/>
                <w:szCs w:val="21"/>
              </w:rPr>
            </w:pPr>
          </w:p>
        </w:tc>
      </w:tr>
    </w:tbl>
    <w:p>
      <w:pPr>
        <w:pStyle w:val="17"/>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12" w:name="_Hlk54167917"/>
      <w:r>
        <w:rPr>
          <w:rFonts w:hint="eastAsia" w:ascii="黑体" w:hAnsi="黑体" w:eastAsia="黑体"/>
          <w:snapToGrid w:val="0"/>
          <w:sz w:val="30"/>
          <w:szCs w:val="30"/>
        </w:rPr>
        <w:t>环境保护措施监督检查清单</w:t>
      </w:r>
      <w:bookmarkEnd w:id="12"/>
    </w:p>
    <w:tbl>
      <w:tblPr>
        <w:tblStyle w:val="21"/>
        <w:tblW w:w="88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372"/>
        <w:gridCol w:w="1383"/>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rPr>
                <w:szCs w:val="21"/>
              </w:rPr>
            </w:pPr>
            <w:r>
              <w:rPr>
                <w:szCs w:val="21"/>
              </w:rPr>
              <w:t>内容</w:t>
            </w:r>
          </w:p>
          <w:p>
            <w:pPr>
              <w:adjustRightInd w:val="0"/>
              <w:snapToGrid w:val="0"/>
              <w:rPr>
                <w:szCs w:val="21"/>
              </w:rPr>
            </w:pPr>
            <w:r>
              <w:rPr>
                <w:szCs w:val="21"/>
              </w:rPr>
              <w:t>要素</w:t>
            </w:r>
          </w:p>
        </w:tc>
        <w:tc>
          <w:tcPr>
            <w:tcW w:w="1755" w:type="dxa"/>
            <w:gridSpan w:val="2"/>
            <w:vAlign w:val="center"/>
          </w:tcPr>
          <w:p>
            <w:pPr>
              <w:adjustRightInd w:val="0"/>
              <w:snapToGrid w:val="0"/>
              <w:jc w:val="center"/>
              <w:rPr>
                <w:szCs w:val="21"/>
              </w:rPr>
            </w:pPr>
            <w:r>
              <w:rPr>
                <w:szCs w:val="21"/>
              </w:rPr>
              <w:t>排放口(编号、</w:t>
            </w:r>
          </w:p>
          <w:p>
            <w:pPr>
              <w:adjustRightInd w:val="0"/>
              <w:snapToGrid w:val="0"/>
              <w:jc w:val="center"/>
              <w:rPr>
                <w:szCs w:val="21"/>
              </w:rPr>
            </w:pPr>
            <w:r>
              <w:rPr>
                <w:szCs w:val="21"/>
              </w:rPr>
              <w:t>名称)/污染源</w:t>
            </w:r>
          </w:p>
        </w:tc>
        <w:tc>
          <w:tcPr>
            <w:tcW w:w="1755" w:type="dxa"/>
            <w:vAlign w:val="center"/>
          </w:tcPr>
          <w:p>
            <w:pPr>
              <w:adjustRightInd w:val="0"/>
              <w:snapToGrid w:val="0"/>
              <w:jc w:val="center"/>
              <w:rPr>
                <w:szCs w:val="21"/>
              </w:rPr>
            </w:pPr>
            <w:r>
              <w:rPr>
                <w:szCs w:val="21"/>
              </w:rPr>
              <w:t>污染物项目</w:t>
            </w:r>
          </w:p>
        </w:tc>
        <w:tc>
          <w:tcPr>
            <w:tcW w:w="1755" w:type="dxa"/>
            <w:vAlign w:val="center"/>
          </w:tcPr>
          <w:p>
            <w:pPr>
              <w:adjustRightInd w:val="0"/>
              <w:snapToGrid w:val="0"/>
              <w:jc w:val="center"/>
              <w:rPr>
                <w:szCs w:val="21"/>
              </w:rPr>
            </w:pPr>
            <w:r>
              <w:rPr>
                <w:szCs w:val="21"/>
              </w:rPr>
              <w:t>环境保护措施</w:t>
            </w:r>
          </w:p>
        </w:tc>
        <w:tc>
          <w:tcPr>
            <w:tcW w:w="1757" w:type="dxa"/>
            <w:vAlign w:val="center"/>
          </w:tcPr>
          <w:p>
            <w:pPr>
              <w:adjustRightInd w:val="0"/>
              <w:snapToGrid w:val="0"/>
              <w:jc w:val="center"/>
              <w:rPr>
                <w:szCs w:val="21"/>
              </w:rPr>
            </w:pPr>
            <w:r>
              <w:rPr>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vMerge w:val="restart"/>
            <w:vAlign w:val="center"/>
          </w:tcPr>
          <w:p>
            <w:pPr>
              <w:adjustRightInd w:val="0"/>
              <w:snapToGrid w:val="0"/>
              <w:jc w:val="center"/>
              <w:rPr>
                <w:szCs w:val="21"/>
              </w:rPr>
            </w:pPr>
            <w:r>
              <w:rPr>
                <w:szCs w:val="21"/>
              </w:rPr>
              <w:t>大气环境</w:t>
            </w:r>
          </w:p>
        </w:tc>
        <w:tc>
          <w:tcPr>
            <w:tcW w:w="372" w:type="dxa"/>
            <w:vAlign w:val="center"/>
          </w:tcPr>
          <w:p>
            <w:pPr>
              <w:adjustRightInd w:val="0"/>
              <w:snapToGrid w:val="0"/>
              <w:jc w:val="center"/>
              <w:rPr>
                <w:szCs w:val="21"/>
              </w:rPr>
            </w:pPr>
            <w:r>
              <w:rPr>
                <w:szCs w:val="21"/>
              </w:rPr>
              <w:t>有组织废气</w:t>
            </w:r>
          </w:p>
        </w:tc>
        <w:tc>
          <w:tcPr>
            <w:tcW w:w="1383" w:type="dxa"/>
            <w:vAlign w:val="center"/>
          </w:tcPr>
          <w:p>
            <w:pPr>
              <w:adjustRightInd w:val="0"/>
              <w:snapToGrid w:val="0"/>
              <w:jc w:val="center"/>
              <w:rPr>
                <w:szCs w:val="21"/>
              </w:rPr>
            </w:pPr>
            <w:r>
              <w:rPr>
                <w:szCs w:val="21"/>
              </w:rPr>
              <w:t>DA001</w:t>
            </w:r>
          </w:p>
        </w:tc>
        <w:tc>
          <w:tcPr>
            <w:tcW w:w="1755" w:type="dxa"/>
            <w:tcMar>
              <w:top w:w="0" w:type="dxa"/>
              <w:left w:w="0" w:type="dxa"/>
              <w:bottom w:w="0" w:type="dxa"/>
              <w:right w:w="0" w:type="dxa"/>
            </w:tcMar>
            <w:vAlign w:val="center"/>
          </w:tcPr>
          <w:p>
            <w:pPr>
              <w:adjustRightInd w:val="0"/>
              <w:snapToGrid w:val="0"/>
              <w:jc w:val="center"/>
              <w:rPr>
                <w:szCs w:val="21"/>
              </w:rPr>
            </w:pPr>
            <w:r>
              <w:rPr>
                <w:szCs w:val="21"/>
              </w:rPr>
              <w:t>非甲烷总烃</w:t>
            </w:r>
          </w:p>
        </w:tc>
        <w:tc>
          <w:tcPr>
            <w:tcW w:w="1755" w:type="dxa"/>
            <w:vAlign w:val="center"/>
          </w:tcPr>
          <w:p>
            <w:pPr>
              <w:adjustRightInd w:val="0"/>
              <w:snapToGrid w:val="0"/>
              <w:jc w:val="center"/>
              <w:rPr>
                <w:szCs w:val="21"/>
              </w:rPr>
            </w:pPr>
            <w:r>
              <w:rPr>
                <w:szCs w:val="21"/>
              </w:rPr>
              <w:t>收集后经</w:t>
            </w:r>
            <w:r>
              <w:rPr>
                <w:rFonts w:hint="eastAsia"/>
                <w:szCs w:val="21"/>
                <w:lang w:val="en-US" w:eastAsia="zh-CN"/>
              </w:rPr>
              <w:t>二</w:t>
            </w:r>
            <w:r>
              <w:rPr>
                <w:szCs w:val="21"/>
              </w:rPr>
              <w:t>级活性炭吸附装置处理</w:t>
            </w:r>
          </w:p>
        </w:tc>
        <w:tc>
          <w:tcPr>
            <w:tcW w:w="1757" w:type="dxa"/>
            <w:vAlign w:val="center"/>
          </w:tcPr>
          <w:p>
            <w:pPr>
              <w:widowControl/>
              <w:jc w:val="center"/>
              <w:rPr>
                <w:szCs w:val="21"/>
              </w:rPr>
            </w:pPr>
            <w:r>
              <w:rPr>
                <w:szCs w:val="21"/>
              </w:rPr>
              <w:t>《合成树脂工业污染物排放标准》（GB31572-2015）表5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vMerge w:val="continue"/>
            <w:vAlign w:val="center"/>
          </w:tcPr>
          <w:p>
            <w:pPr>
              <w:adjustRightInd w:val="0"/>
              <w:snapToGrid w:val="0"/>
              <w:jc w:val="center"/>
              <w:rPr>
                <w:szCs w:val="21"/>
              </w:rPr>
            </w:pPr>
          </w:p>
        </w:tc>
        <w:tc>
          <w:tcPr>
            <w:tcW w:w="372" w:type="dxa"/>
            <w:vAlign w:val="center"/>
          </w:tcPr>
          <w:p>
            <w:pPr>
              <w:adjustRightInd w:val="0"/>
              <w:snapToGrid w:val="0"/>
              <w:jc w:val="center"/>
              <w:rPr>
                <w:szCs w:val="21"/>
              </w:rPr>
            </w:pPr>
            <w:r>
              <w:rPr>
                <w:szCs w:val="21"/>
              </w:rPr>
              <w:t>无组织废气</w:t>
            </w:r>
          </w:p>
        </w:tc>
        <w:tc>
          <w:tcPr>
            <w:tcW w:w="1383" w:type="dxa"/>
            <w:vAlign w:val="center"/>
          </w:tcPr>
          <w:p>
            <w:pPr>
              <w:adjustRightInd w:val="0"/>
              <w:snapToGrid w:val="0"/>
              <w:jc w:val="center"/>
              <w:rPr>
                <w:szCs w:val="21"/>
              </w:rPr>
            </w:pPr>
            <w:r>
              <w:rPr>
                <w:szCs w:val="21"/>
              </w:rPr>
              <w:t>生产车间</w:t>
            </w:r>
          </w:p>
        </w:tc>
        <w:tc>
          <w:tcPr>
            <w:tcW w:w="1755" w:type="dxa"/>
            <w:tcMar>
              <w:top w:w="0" w:type="dxa"/>
              <w:left w:w="0" w:type="dxa"/>
              <w:bottom w:w="0" w:type="dxa"/>
              <w:right w:w="0" w:type="dxa"/>
            </w:tcMar>
            <w:vAlign w:val="center"/>
          </w:tcPr>
          <w:p>
            <w:pPr>
              <w:adjustRightInd w:val="0"/>
              <w:snapToGrid w:val="0"/>
              <w:jc w:val="center"/>
              <w:rPr>
                <w:rFonts w:hint="eastAsia"/>
                <w:szCs w:val="21"/>
              </w:rPr>
            </w:pPr>
            <w:r>
              <w:rPr>
                <w:szCs w:val="21"/>
              </w:rPr>
              <w:t>非甲烷总烃</w:t>
            </w:r>
          </w:p>
        </w:tc>
        <w:tc>
          <w:tcPr>
            <w:tcW w:w="1755" w:type="dxa"/>
            <w:vAlign w:val="center"/>
          </w:tcPr>
          <w:p>
            <w:pPr>
              <w:adjustRightInd w:val="0"/>
              <w:snapToGrid w:val="0"/>
              <w:jc w:val="center"/>
              <w:rPr>
                <w:szCs w:val="21"/>
              </w:rPr>
            </w:pPr>
            <w:r>
              <w:rPr>
                <w:szCs w:val="21"/>
              </w:rPr>
              <w:t>生产车间内无组织排放</w:t>
            </w:r>
          </w:p>
        </w:tc>
        <w:tc>
          <w:tcPr>
            <w:tcW w:w="1757" w:type="dxa"/>
            <w:vAlign w:val="center"/>
          </w:tcPr>
          <w:p>
            <w:pPr>
              <w:adjustRightInd w:val="0"/>
              <w:snapToGrid w:val="0"/>
              <w:jc w:val="center"/>
              <w:rPr>
                <w:rFonts w:hint="eastAsia"/>
                <w:szCs w:val="21"/>
              </w:rPr>
            </w:pPr>
            <w:r>
              <w:rPr>
                <w:szCs w:val="21"/>
              </w:rPr>
              <w:t>《合成树脂工业污染物排放标准》（GB31572-2015）表9、《大气污染物综合排放标准》（DB32/4041-2021）表2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w:t>
            </w:r>
          </w:p>
        </w:tc>
        <w:tc>
          <w:tcPr>
            <w:tcW w:w="1755" w:type="dxa"/>
            <w:gridSpan w:val="2"/>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w:t>
            </w:r>
          </w:p>
        </w:tc>
        <w:tc>
          <w:tcPr>
            <w:tcW w:w="1755"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COD、SS、氨氮、TP</w:t>
            </w:r>
            <w:r>
              <w:rPr>
                <w:rFonts w:hint="eastAsia"/>
                <w:color w:val="000000" w:themeColor="text1"/>
                <w:szCs w:val="21"/>
                <w14:textFill>
                  <w14:solidFill>
                    <w14:schemeClr w14:val="tx1"/>
                  </w14:solidFill>
                </w14:textFill>
              </w:rPr>
              <w:t>、TN</w:t>
            </w:r>
          </w:p>
        </w:tc>
        <w:tc>
          <w:tcPr>
            <w:tcW w:w="1755" w:type="dxa"/>
            <w:tcMar>
              <w:top w:w="0" w:type="dxa"/>
              <w:left w:w="0" w:type="dxa"/>
              <w:bottom w:w="0" w:type="dxa"/>
              <w:right w:w="0" w:type="dxa"/>
            </w:tcMar>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生活污水依托</w:t>
            </w:r>
            <w:r>
              <w:rPr>
                <w:rFonts w:hint="eastAsia"/>
                <w:color w:val="000000" w:themeColor="text1"/>
                <w:szCs w:val="21"/>
                <w:lang w:val="en-US" w:eastAsia="zh-CN"/>
                <w14:textFill>
                  <w14:solidFill>
                    <w14:schemeClr w14:val="tx1"/>
                  </w14:solidFill>
                </w14:textFill>
              </w:rPr>
              <w:t>厂</w:t>
            </w:r>
            <w:r>
              <w:rPr>
                <w:rFonts w:hint="eastAsia"/>
                <w:color w:val="000000" w:themeColor="text1"/>
                <w:szCs w:val="21"/>
                <w14:textFill>
                  <w14:solidFill>
                    <w14:schemeClr w14:val="tx1"/>
                  </w14:solidFill>
                </w14:textFill>
              </w:rPr>
              <w:t>区</w:t>
            </w:r>
            <w:r>
              <w:rPr>
                <w:color w:val="000000" w:themeColor="text1"/>
                <w:szCs w:val="21"/>
                <w14:textFill>
                  <w14:solidFill>
                    <w14:schemeClr w14:val="tx1"/>
                  </w14:solidFill>
                </w14:textFill>
              </w:rPr>
              <w:t>内污水管网接入常州武南污水处理厂集中处理，达标尾水排入武南河</w:t>
            </w:r>
          </w:p>
        </w:tc>
        <w:tc>
          <w:tcPr>
            <w:tcW w:w="1757" w:type="dxa"/>
            <w:tcMar>
              <w:top w:w="0" w:type="dxa"/>
              <w:left w:w="0" w:type="dxa"/>
              <w:bottom w:w="0" w:type="dxa"/>
              <w:right w:w="0" w:type="dxa"/>
            </w:tcMar>
            <w:vAlign w:val="center"/>
          </w:tcPr>
          <w:p>
            <w:pPr>
              <w:wordWrap w:val="0"/>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《污水排入城镇下水道水质标准》（GB/T31962-2015）表1B等级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声环境</w:t>
            </w:r>
          </w:p>
        </w:tc>
        <w:tc>
          <w:tcPr>
            <w:tcW w:w="1755" w:type="dxa"/>
            <w:gridSpan w:val="2"/>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厂界四周</w:t>
            </w:r>
          </w:p>
        </w:tc>
        <w:tc>
          <w:tcPr>
            <w:tcW w:w="1755" w:type="dxa"/>
            <w:vAlign w:val="center"/>
          </w:tcPr>
          <w:p>
            <w:pPr>
              <w:adjustRightInd w:val="0"/>
              <w:snapToGrid w:val="0"/>
              <w:jc w:val="center"/>
              <w:rPr>
                <w:color w:val="FF0000"/>
                <w:szCs w:val="21"/>
              </w:rPr>
            </w:pPr>
            <w:r>
              <w:rPr>
                <w:szCs w:val="21"/>
              </w:rPr>
              <w:t>噪声</w:t>
            </w:r>
          </w:p>
        </w:tc>
        <w:tc>
          <w:tcPr>
            <w:tcW w:w="1755" w:type="dxa"/>
            <w:tcMar>
              <w:top w:w="0" w:type="dxa"/>
              <w:left w:w="0" w:type="dxa"/>
              <w:bottom w:w="0" w:type="dxa"/>
              <w:right w:w="0" w:type="dxa"/>
            </w:tcMar>
            <w:vAlign w:val="center"/>
          </w:tcPr>
          <w:p>
            <w:pPr>
              <w:adjustRightInd w:val="0"/>
              <w:snapToGrid w:val="0"/>
              <w:jc w:val="center"/>
              <w:rPr>
                <w:color w:val="FF0000"/>
                <w:szCs w:val="21"/>
              </w:rPr>
            </w:pPr>
            <w:r>
              <w:rPr>
                <w:szCs w:val="21"/>
              </w:rPr>
              <w:t>合理布局、厂房隔声、设备减振</w:t>
            </w:r>
          </w:p>
        </w:tc>
        <w:tc>
          <w:tcPr>
            <w:tcW w:w="1757" w:type="dxa"/>
            <w:vAlign w:val="center"/>
          </w:tcPr>
          <w:p>
            <w:pPr>
              <w:adjustRightInd w:val="0"/>
              <w:snapToGrid w:val="0"/>
              <w:jc w:val="center"/>
              <w:rPr>
                <w:color w:val="FF0000"/>
                <w:szCs w:val="21"/>
              </w:rPr>
            </w:pPr>
            <w:r>
              <w:rPr>
                <w:szCs w:val="21"/>
              </w:rPr>
              <w:t>《工业企业厂界环境噪声排放标准》（GB12348-2008）中3类标准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78" w:type="dxa"/>
            <w:vAlign w:val="center"/>
          </w:tcPr>
          <w:p>
            <w:pPr>
              <w:adjustRightInd w:val="0"/>
              <w:snapToGrid w:val="0"/>
              <w:jc w:val="center"/>
              <w:rPr>
                <w:szCs w:val="21"/>
              </w:rPr>
            </w:pPr>
            <w:r>
              <w:rPr>
                <w:szCs w:val="21"/>
              </w:rPr>
              <w:t>电磁辐射</w:t>
            </w:r>
          </w:p>
        </w:tc>
        <w:tc>
          <w:tcPr>
            <w:tcW w:w="7022" w:type="dxa"/>
            <w:gridSpan w:val="5"/>
            <w:vAlign w:val="center"/>
          </w:tcPr>
          <w:p>
            <w:pPr>
              <w:adjustRightInd w:val="0"/>
              <w:snapToGrid w:val="0"/>
              <w:jc w:val="center"/>
              <w:rPr>
                <w:szCs w:val="21"/>
              </w:rPr>
            </w:pPr>
            <w:r>
              <w:rPr>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778" w:type="dxa"/>
            <w:vMerge w:val="restart"/>
            <w:vAlign w:val="center"/>
          </w:tcPr>
          <w:p>
            <w:pPr>
              <w:adjustRightInd w:val="0"/>
              <w:snapToGrid w:val="0"/>
              <w:jc w:val="center"/>
              <w:rPr>
                <w:szCs w:val="21"/>
              </w:rPr>
            </w:pPr>
            <w:r>
              <w:rPr>
                <w:szCs w:val="21"/>
              </w:rPr>
              <w:t>固体废物</w:t>
            </w:r>
          </w:p>
        </w:tc>
        <w:tc>
          <w:tcPr>
            <w:tcW w:w="1755" w:type="dxa"/>
            <w:gridSpan w:val="2"/>
            <w:vAlign w:val="center"/>
          </w:tcPr>
          <w:p>
            <w:pPr>
              <w:adjustRightInd w:val="0"/>
              <w:snapToGrid w:val="0"/>
              <w:jc w:val="center"/>
              <w:rPr>
                <w:szCs w:val="21"/>
              </w:rPr>
            </w:pPr>
            <w:r>
              <w:rPr>
                <w:szCs w:val="21"/>
              </w:rPr>
              <w:t>危险废物</w:t>
            </w:r>
          </w:p>
        </w:tc>
        <w:tc>
          <w:tcPr>
            <w:tcW w:w="1755" w:type="dxa"/>
            <w:tcMar>
              <w:top w:w="0" w:type="dxa"/>
              <w:left w:w="0" w:type="dxa"/>
              <w:bottom w:w="0" w:type="dxa"/>
              <w:right w:w="0" w:type="dxa"/>
            </w:tcMar>
            <w:vAlign w:val="center"/>
          </w:tcPr>
          <w:p>
            <w:pPr>
              <w:adjustRightInd w:val="0"/>
              <w:snapToGrid w:val="0"/>
              <w:jc w:val="center"/>
              <w:rPr>
                <w:rFonts w:hint="eastAsia" w:eastAsia="宋体"/>
                <w:szCs w:val="21"/>
                <w:lang w:val="en-US" w:eastAsia="zh-CN"/>
              </w:rPr>
            </w:pPr>
            <w:r>
              <w:rPr>
                <w:rFonts w:hint="eastAsia"/>
                <w:szCs w:val="21"/>
              </w:rPr>
              <w:t>废</w:t>
            </w:r>
            <w:r>
              <w:rPr>
                <w:rFonts w:hint="eastAsia"/>
                <w:szCs w:val="21"/>
                <w:lang w:val="en-US" w:eastAsia="zh-CN"/>
              </w:rPr>
              <w:t>活性炭</w:t>
            </w:r>
          </w:p>
        </w:tc>
        <w:tc>
          <w:tcPr>
            <w:tcW w:w="1755" w:type="dxa"/>
            <w:vAlign w:val="center"/>
          </w:tcPr>
          <w:p>
            <w:pPr>
              <w:adjustRightInd w:val="0"/>
              <w:snapToGrid w:val="0"/>
              <w:jc w:val="center"/>
              <w:rPr>
                <w:szCs w:val="21"/>
              </w:rPr>
            </w:pPr>
            <w:r>
              <w:rPr>
                <w:szCs w:val="21"/>
              </w:rPr>
              <w:t>有资质单位处置</w:t>
            </w:r>
          </w:p>
        </w:tc>
        <w:tc>
          <w:tcPr>
            <w:tcW w:w="1757" w:type="dxa"/>
            <w:vMerge w:val="restart"/>
            <w:vAlign w:val="center"/>
          </w:tcPr>
          <w:p>
            <w:pPr>
              <w:adjustRightInd w:val="0"/>
              <w:snapToGrid w:val="0"/>
              <w:jc w:val="center"/>
              <w:rPr>
                <w:szCs w:val="21"/>
              </w:rPr>
            </w:pPr>
            <w:r>
              <w:rPr>
                <w:rFonts w:hint="eastAsia"/>
                <w:szCs w:val="21"/>
              </w:rPr>
              <w:t>固体废物鉴别标准 通则(GB 34330—2017)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778" w:type="dxa"/>
            <w:vMerge w:val="continue"/>
            <w:vAlign w:val="center"/>
          </w:tcPr>
          <w:p>
            <w:pPr>
              <w:adjustRightInd w:val="0"/>
              <w:snapToGrid w:val="0"/>
              <w:jc w:val="center"/>
              <w:rPr>
                <w:szCs w:val="21"/>
              </w:rPr>
            </w:pPr>
          </w:p>
        </w:tc>
        <w:tc>
          <w:tcPr>
            <w:tcW w:w="1755" w:type="dxa"/>
            <w:gridSpan w:val="2"/>
            <w:vAlign w:val="center"/>
          </w:tcPr>
          <w:p>
            <w:pPr>
              <w:adjustRightInd w:val="0"/>
              <w:snapToGrid w:val="0"/>
              <w:jc w:val="center"/>
              <w:rPr>
                <w:szCs w:val="21"/>
              </w:rPr>
            </w:pPr>
            <w:r>
              <w:rPr>
                <w:rFonts w:hint="eastAsia"/>
                <w:szCs w:val="21"/>
              </w:rPr>
              <w:t>一般固废</w:t>
            </w:r>
          </w:p>
        </w:tc>
        <w:tc>
          <w:tcPr>
            <w:tcW w:w="1755" w:type="dxa"/>
            <w:tcMar>
              <w:top w:w="0" w:type="dxa"/>
              <w:left w:w="0" w:type="dxa"/>
              <w:bottom w:w="0" w:type="dxa"/>
              <w:right w:w="0" w:type="dxa"/>
            </w:tcMar>
            <w:vAlign w:val="center"/>
          </w:tcPr>
          <w:p>
            <w:pPr>
              <w:adjustRightInd w:val="0"/>
              <w:snapToGrid w:val="0"/>
              <w:jc w:val="center"/>
              <w:rPr>
                <w:szCs w:val="21"/>
              </w:rPr>
            </w:pPr>
            <w:r>
              <w:rPr>
                <w:rFonts w:hint="eastAsia"/>
                <w:szCs w:val="21"/>
              </w:rPr>
              <w:t>塑料不合格品及边角料、废</w:t>
            </w:r>
            <w:r>
              <w:rPr>
                <w:rFonts w:hint="eastAsia"/>
                <w:szCs w:val="21"/>
                <w:lang w:val="en-US" w:eastAsia="zh-CN"/>
              </w:rPr>
              <w:t>包装材料</w:t>
            </w:r>
          </w:p>
        </w:tc>
        <w:tc>
          <w:tcPr>
            <w:tcW w:w="1755" w:type="dxa"/>
            <w:vAlign w:val="center"/>
          </w:tcPr>
          <w:p>
            <w:pPr>
              <w:adjustRightInd w:val="0"/>
              <w:snapToGrid w:val="0"/>
              <w:jc w:val="center"/>
              <w:rPr>
                <w:szCs w:val="21"/>
              </w:rPr>
            </w:pPr>
            <w:r>
              <w:rPr>
                <w:szCs w:val="21"/>
              </w:rPr>
              <w:t>外售综合利用</w:t>
            </w:r>
          </w:p>
        </w:tc>
        <w:tc>
          <w:tcPr>
            <w:tcW w:w="1757" w:type="dxa"/>
            <w:vMerge w:val="continue"/>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78" w:type="dxa"/>
            <w:vMerge w:val="continue"/>
            <w:vAlign w:val="center"/>
          </w:tcPr>
          <w:p>
            <w:pPr>
              <w:adjustRightInd w:val="0"/>
              <w:snapToGrid w:val="0"/>
              <w:jc w:val="center"/>
            </w:pPr>
          </w:p>
        </w:tc>
        <w:tc>
          <w:tcPr>
            <w:tcW w:w="3510" w:type="dxa"/>
            <w:gridSpan w:val="3"/>
            <w:vAlign w:val="center"/>
          </w:tcPr>
          <w:p>
            <w:pPr>
              <w:adjustRightInd w:val="0"/>
              <w:snapToGrid w:val="0"/>
              <w:jc w:val="center"/>
              <w:rPr>
                <w:szCs w:val="21"/>
              </w:rPr>
            </w:pPr>
            <w:r>
              <w:rPr>
                <w:szCs w:val="21"/>
              </w:rPr>
              <w:t>生活垃圾</w:t>
            </w:r>
          </w:p>
        </w:tc>
        <w:tc>
          <w:tcPr>
            <w:tcW w:w="1755" w:type="dxa"/>
            <w:vAlign w:val="center"/>
          </w:tcPr>
          <w:p>
            <w:pPr>
              <w:adjustRightInd w:val="0"/>
              <w:snapToGrid w:val="0"/>
              <w:jc w:val="center"/>
              <w:rPr>
                <w:szCs w:val="21"/>
              </w:rPr>
            </w:pPr>
            <w:r>
              <w:rPr>
                <w:szCs w:val="21"/>
              </w:rPr>
              <w:t>环卫清运</w:t>
            </w:r>
          </w:p>
        </w:tc>
        <w:tc>
          <w:tcPr>
            <w:tcW w:w="1757" w:type="dxa"/>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778" w:type="dxa"/>
            <w:vAlign w:val="center"/>
          </w:tcPr>
          <w:p>
            <w:pPr>
              <w:adjustRightInd w:val="0"/>
              <w:snapToGrid w:val="0"/>
              <w:jc w:val="center"/>
              <w:rPr>
                <w:szCs w:val="21"/>
              </w:rPr>
            </w:pPr>
            <w:r>
              <w:rPr>
                <w:szCs w:val="21"/>
              </w:rPr>
              <w:t>土壤及地下水</w:t>
            </w:r>
          </w:p>
          <w:p>
            <w:pPr>
              <w:adjustRightInd w:val="0"/>
              <w:snapToGrid w:val="0"/>
              <w:jc w:val="center"/>
              <w:rPr>
                <w:szCs w:val="21"/>
              </w:rPr>
            </w:pPr>
            <w:r>
              <w:rPr>
                <w:szCs w:val="21"/>
              </w:rPr>
              <w:t>污染防治措施</w:t>
            </w:r>
          </w:p>
        </w:tc>
        <w:tc>
          <w:tcPr>
            <w:tcW w:w="7022" w:type="dxa"/>
            <w:gridSpan w:val="5"/>
            <w:vAlign w:val="center"/>
          </w:tcPr>
          <w:p>
            <w:pPr>
              <w:adjustRightInd w:val="0"/>
              <w:snapToGrid w:val="0"/>
              <w:jc w:val="center"/>
              <w:rPr>
                <w:szCs w:val="21"/>
              </w:rPr>
            </w:pPr>
            <w:r>
              <w:rPr>
                <w:kern w:val="0"/>
                <w:szCs w:val="21"/>
              </w:rPr>
              <w:t>采取分区防渗措施。本项目危废库属于重点防渗区，应对其设计采取重点防渗处理。参照《危险废物贮存污染控制标准》（GB18597-2023）对地面进行重点防渗处理，防渗层为至少1m厚土层（渗透系数≤10</w:t>
            </w:r>
            <w:r>
              <w:rPr>
                <w:kern w:val="0"/>
                <w:szCs w:val="21"/>
                <w:vertAlign w:val="superscript"/>
              </w:rPr>
              <w:t>-7</w:t>
            </w:r>
            <w:r>
              <w:rPr>
                <w:kern w:val="0"/>
                <w:szCs w:val="21"/>
              </w:rPr>
              <w:t>cm/s），或2mm厚高密度聚乙烯，或至少2mm厚的其他人工材料，渗透系数≤10</w:t>
            </w:r>
            <w:r>
              <w:rPr>
                <w:kern w:val="0"/>
                <w:szCs w:val="21"/>
                <w:vertAlign w:val="superscript"/>
              </w:rPr>
              <w:t>-10</w:t>
            </w:r>
            <w:r>
              <w:rPr>
                <w:kern w:val="0"/>
                <w:szCs w:val="21"/>
              </w:rPr>
              <w:t>cm/s。生产车间工艺生产区域为一般防渗区，满足等效粘土防渗层Mb≥1.5m，K≤1.0×10</w:t>
            </w:r>
            <w:r>
              <w:rPr>
                <w:kern w:val="0"/>
                <w:szCs w:val="21"/>
                <w:vertAlign w:val="superscript"/>
              </w:rPr>
              <w:t>-7</w:t>
            </w:r>
            <w:r>
              <w:rPr>
                <w:kern w:val="0"/>
                <w:szCs w:val="21"/>
              </w:rPr>
              <w:t>cm/s的要求。厂房其他区域简单防渗区，采取地面水泥硬化措施</w:t>
            </w:r>
            <w:r>
              <w:rPr>
                <w:rFonts w:hint="eastAsia"/>
                <w:szCs w:val="21"/>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78" w:type="dxa"/>
            <w:vAlign w:val="center"/>
          </w:tcPr>
          <w:p>
            <w:pPr>
              <w:adjustRightInd w:val="0"/>
              <w:snapToGrid w:val="0"/>
              <w:jc w:val="center"/>
              <w:rPr>
                <w:szCs w:val="21"/>
              </w:rPr>
            </w:pPr>
            <w:r>
              <w:rPr>
                <w:szCs w:val="21"/>
              </w:rPr>
              <w:t>生态保护措施</w:t>
            </w:r>
          </w:p>
        </w:tc>
        <w:tc>
          <w:tcPr>
            <w:tcW w:w="7022" w:type="dxa"/>
            <w:gridSpan w:val="5"/>
            <w:vAlign w:val="center"/>
          </w:tcPr>
          <w:p>
            <w:pPr>
              <w:adjustRightInd w:val="0"/>
              <w:snapToGrid w:val="0"/>
              <w:jc w:val="center"/>
              <w:rPr>
                <w:rFonts w:hint="eastAsia" w:eastAsia="宋体"/>
                <w:szCs w:val="21"/>
                <w:lang w:eastAsia="zh-CN"/>
              </w:rPr>
            </w:pPr>
            <w:r>
              <w:rPr>
                <w:szCs w:val="21"/>
              </w:rPr>
              <w:t>根据《江苏省生态空间管控区域规划》（苏政发</w:t>
            </w:r>
            <w:r>
              <w:rPr>
                <w:bCs/>
                <w:szCs w:val="21"/>
              </w:rPr>
              <w:t>〔2020〕</w:t>
            </w:r>
            <w:r>
              <w:rPr>
                <w:szCs w:val="21"/>
              </w:rPr>
              <w:t>1号），对照常州市生态红线区域名录，本项目在保护区外，不属于禁止、限制开发区，且项目建成投产后所产生的环境污染物较少，经过适当的控制治理，对区域的生态环境影响较小</w:t>
            </w:r>
            <w:r>
              <w:rPr>
                <w:rFonts w:hint="eastAsia"/>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778" w:type="dxa"/>
            <w:vAlign w:val="center"/>
          </w:tcPr>
          <w:p>
            <w:pPr>
              <w:adjustRightInd w:val="0"/>
              <w:snapToGrid w:val="0"/>
              <w:jc w:val="center"/>
              <w:rPr>
                <w:spacing w:val="-8"/>
                <w:szCs w:val="21"/>
              </w:rPr>
            </w:pPr>
            <w:r>
              <w:rPr>
                <w:spacing w:val="-8"/>
                <w:szCs w:val="21"/>
              </w:rPr>
              <w:t>环境风险</w:t>
            </w:r>
          </w:p>
          <w:p>
            <w:pPr>
              <w:adjustRightInd w:val="0"/>
              <w:snapToGrid w:val="0"/>
              <w:jc w:val="center"/>
              <w:rPr>
                <w:spacing w:val="-8"/>
                <w:szCs w:val="21"/>
              </w:rPr>
            </w:pPr>
            <w:r>
              <w:rPr>
                <w:spacing w:val="-8"/>
                <w:szCs w:val="21"/>
              </w:rPr>
              <w:t>防范措施</w:t>
            </w:r>
          </w:p>
        </w:tc>
        <w:tc>
          <w:tcPr>
            <w:tcW w:w="7022" w:type="dxa"/>
            <w:gridSpan w:val="5"/>
            <w:vAlign w:val="center"/>
          </w:tcPr>
          <w:p>
            <w:pPr>
              <w:adjustRightInd w:val="0"/>
              <w:snapToGrid w:val="0"/>
              <w:rPr>
                <w:szCs w:val="21"/>
              </w:rPr>
            </w:pPr>
            <w:r>
              <w:rPr>
                <w:rFonts w:hint="eastAsia" w:ascii="宋体" w:hAnsi="宋体" w:cs="宋体"/>
                <w:szCs w:val="21"/>
              </w:rPr>
              <w:t>①</w:t>
            </w:r>
            <w:r>
              <w:rPr>
                <w:szCs w:val="21"/>
              </w:rPr>
              <w:t xml:space="preserve">设计、建造、施工安装要科学、合理、保证质量，严格执行有关安全规程、规范和标准，同时加强管理，提高管理和操作人员的素质和水平，把好设计、设备选购、建造和施工安装的关。 </w:t>
            </w:r>
          </w:p>
          <w:p>
            <w:pPr>
              <w:adjustRightInd w:val="0"/>
              <w:snapToGrid w:val="0"/>
              <w:rPr>
                <w:szCs w:val="21"/>
              </w:rPr>
            </w:pPr>
            <w:r>
              <w:rPr>
                <w:szCs w:val="21"/>
              </w:rPr>
              <w:t>严密制订防范措施以保证系统运行的安全性，减少事故的发生，使事故发生的概率最小；并拟订应急计划，一旦发生事故时，有充分的应对能力，以遏制和控制事故危害的扩大，及时控制危害物向环境流失、扩散有害物质，抢救受害人员，指导防护和撤离，组织救援，减少影响。</w:t>
            </w:r>
          </w:p>
          <w:p>
            <w:pPr>
              <w:adjustRightInd w:val="0"/>
              <w:snapToGrid w:val="0"/>
              <w:rPr>
                <w:szCs w:val="21"/>
              </w:rPr>
            </w:pPr>
            <w:r>
              <w:rPr>
                <w:rFonts w:hint="eastAsia" w:ascii="宋体" w:hAnsi="宋体" w:cs="宋体"/>
                <w:szCs w:val="21"/>
              </w:rPr>
              <w:t>②</w:t>
            </w:r>
            <w:r>
              <w:rPr>
                <w:szCs w:val="21"/>
              </w:rPr>
              <w:t>严格环境管理，加强环保设施的养护，对其定期进行检查和维修，确保环保设施正常运行，尽量降低由于环保措施损坏而导致污染物污染环境引起事故可能性。</w:t>
            </w:r>
          </w:p>
          <w:p>
            <w:pPr>
              <w:adjustRightInd w:val="0"/>
              <w:snapToGrid w:val="0"/>
              <w:rPr>
                <w:szCs w:val="21"/>
              </w:rPr>
            </w:pPr>
            <w:r>
              <w:rPr>
                <w:rFonts w:hint="eastAsia" w:ascii="宋体" w:hAnsi="宋体" w:cs="宋体"/>
                <w:szCs w:val="21"/>
              </w:rPr>
              <w:t>③</w:t>
            </w:r>
            <w:r>
              <w:rPr>
                <w:szCs w:val="21"/>
              </w:rPr>
              <w:t>保证废气处理装置正常运行，当废气处理装置发生故障时，将会严重影响空气质量，危害周围居民的健康。此时立即停止生产，疏散车间中人群，同时检测厂界和周围居民点空气中的颗粒物含量，必要时紧急疏散周围居民，及时维修废气处理装置。尽量将事故的危害减小到最低限度。</w:t>
            </w:r>
          </w:p>
          <w:p>
            <w:pPr>
              <w:adjustRightInd w:val="0"/>
              <w:snapToGrid w:val="0"/>
              <w:rPr>
                <w:szCs w:val="21"/>
              </w:rPr>
            </w:pPr>
            <w:r>
              <w:rPr>
                <w:rFonts w:hint="eastAsia" w:ascii="宋体" w:hAnsi="宋体" w:cs="宋体"/>
                <w:szCs w:val="21"/>
              </w:rPr>
              <w:t>④</w:t>
            </w:r>
            <w:r>
              <w:rPr>
                <w:szCs w:val="21"/>
              </w:rPr>
              <w:t>制定电气运行和操作的巡回检查制度、检修制度、运行安全操作规程等各项规章制度。加强人员技术培训，电气维修人员必须经过培训，取得特种作业操作证后，方可上岗。</w:t>
            </w:r>
          </w:p>
          <w:p>
            <w:pPr>
              <w:adjustRightInd w:val="0"/>
              <w:snapToGrid w:val="0"/>
              <w:rPr>
                <w:szCs w:val="21"/>
              </w:rPr>
            </w:pPr>
            <w:r>
              <w:rPr>
                <w:rFonts w:hint="eastAsia" w:ascii="宋体" w:hAnsi="宋体" w:cs="宋体"/>
                <w:szCs w:val="21"/>
              </w:rPr>
              <w:t>⑤</w:t>
            </w:r>
            <w:r>
              <w:rPr>
                <w:szCs w:val="21"/>
              </w:rPr>
              <w:t>消除点火源，严禁在有可燃粉尘的作业环境下进行动火作业或使用明火，高温热源。使用合格的防爆电器设备，采取相应的防雷防静电措施，保证设备设施可靠接地，禁止作业场所违规使用可能产生火花和高温的作业工具。</w:t>
            </w:r>
          </w:p>
          <w:p>
            <w:pPr>
              <w:adjustRightInd w:val="0"/>
              <w:snapToGrid w:val="0"/>
              <w:jc w:val="left"/>
              <w:rPr>
                <w:szCs w:val="21"/>
              </w:rPr>
            </w:pPr>
            <w:r>
              <w:rPr>
                <w:rFonts w:hint="eastAsia" w:ascii="宋体" w:hAnsi="宋体" w:cs="宋体"/>
                <w:szCs w:val="21"/>
              </w:rPr>
              <w:t>⑥</w:t>
            </w:r>
            <w:r>
              <w:rPr>
                <w:szCs w:val="21"/>
              </w:rPr>
              <w:t>企业需对照《关于做好生态环境和应急管理部门联动工作的意见》（苏环办〔2020〕101 号），对环境治理设施开展安全风险辨识管控，要健全内部污染防治设施稳定运行和管理责任制度，严格依据标准规范建设环境治理设施，确保环境治理设施安全、稳定、有效运行</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1778" w:type="dxa"/>
            <w:vAlign w:val="center"/>
          </w:tcPr>
          <w:p>
            <w:pPr>
              <w:adjustRightInd w:val="0"/>
              <w:snapToGrid w:val="0"/>
              <w:jc w:val="center"/>
              <w:rPr>
                <w:spacing w:val="-8"/>
                <w:szCs w:val="21"/>
              </w:rPr>
            </w:pPr>
            <w:r>
              <w:rPr>
                <w:spacing w:val="-8"/>
                <w:szCs w:val="21"/>
              </w:rPr>
              <w:t>其他环境</w:t>
            </w:r>
          </w:p>
          <w:p>
            <w:pPr>
              <w:adjustRightInd w:val="0"/>
              <w:snapToGrid w:val="0"/>
              <w:jc w:val="center"/>
              <w:rPr>
                <w:spacing w:val="-8"/>
                <w:szCs w:val="21"/>
              </w:rPr>
            </w:pPr>
            <w:r>
              <w:rPr>
                <w:spacing w:val="-8"/>
                <w:szCs w:val="21"/>
              </w:rPr>
              <w:t>管理要求</w:t>
            </w:r>
          </w:p>
        </w:tc>
        <w:tc>
          <w:tcPr>
            <w:tcW w:w="7022" w:type="dxa"/>
            <w:gridSpan w:val="5"/>
            <w:vAlign w:val="center"/>
          </w:tcPr>
          <w:p>
            <w:pPr>
              <w:adjustRightInd w:val="0"/>
              <w:snapToGrid w:val="0"/>
              <w:rPr>
                <w:szCs w:val="21"/>
              </w:rPr>
            </w:pPr>
            <w:r>
              <w:rPr>
                <w:szCs w:val="21"/>
              </w:rPr>
              <w:t>1、按照相关排污许可申请与核发技术规范的要求申请排污许可证，并根据排污许可证中的要求进行监测、管理。</w:t>
            </w:r>
          </w:p>
          <w:p>
            <w:pPr>
              <w:adjustRightInd w:val="0"/>
              <w:snapToGrid w:val="0"/>
              <w:jc w:val="left"/>
              <w:rPr>
                <w:szCs w:val="21"/>
              </w:rPr>
            </w:pPr>
            <w:r>
              <w:rPr>
                <w:szCs w:val="21"/>
              </w:rPr>
              <w:t>2、规范排污口设置，强化环境管理，按照环保要求落实各项环保措施，确保污染物稳定达标排放和妥善处置。</w:t>
            </w:r>
          </w:p>
        </w:tc>
      </w:tr>
    </w:tbl>
    <w:p>
      <w:pPr>
        <w:pStyle w:val="17"/>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1"/>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8865" w:type="dxa"/>
          </w:tcPr>
          <w:p>
            <w:pPr>
              <w:adjustRightInd w:val="0"/>
              <w:spacing w:line="360" w:lineRule="auto"/>
              <w:ind w:firstLine="420" w:firstLineChars="200"/>
              <w:rPr>
                <w:szCs w:val="21"/>
              </w:rPr>
            </w:pPr>
            <w:r>
              <w:rPr>
                <w:szCs w:val="21"/>
              </w:rPr>
              <w:t>本项目符合国家</w:t>
            </w:r>
            <w:r>
              <w:rPr>
                <w:rFonts w:hint="eastAsia"/>
                <w:szCs w:val="21"/>
              </w:rPr>
              <w:t>相关法律法规、</w:t>
            </w:r>
            <w:r>
              <w:rPr>
                <w:szCs w:val="21"/>
              </w:rPr>
              <w:t>产业政策</w:t>
            </w:r>
            <w:r>
              <w:rPr>
                <w:rFonts w:hint="eastAsia"/>
                <w:szCs w:val="21"/>
              </w:rPr>
              <w:t>和城市总体规划，符合现行环保法律法规、环保政策、生态环境保护规划、园区规划。项目在建设中和建成运行后将产生一定程度的废气、废水、噪声及固体废物的污染，在全面落实本评价拟定的各项环境保护措施，项目对周围环境的影响可以控制在国家标准和要求的允许范围以内，各项污染物能够满足国家和地方规定的污染物排放标准，不改变当地的环境质量功能属性。本项目</w:t>
            </w:r>
            <w:r>
              <w:rPr>
                <w:szCs w:val="21"/>
              </w:rPr>
              <w:t>在加强管理和严格规范操作，做好各项风险防范措施后，本项目的风险事故发生概率较小，在环境风险可接受范围内。</w:t>
            </w:r>
            <w:r>
              <w:rPr>
                <w:rFonts w:hint="eastAsia"/>
                <w:szCs w:val="21"/>
              </w:rPr>
              <w:t>因此，该项目的建设方案和规划，在环境保护方面可行，在拟定地点、按拟定规模及计划实施具有环境可行性。</w:t>
            </w:r>
          </w:p>
          <w:p>
            <w:pPr>
              <w:spacing w:line="360" w:lineRule="auto"/>
              <w:ind w:firstLine="420" w:firstLineChars="200"/>
            </w:pPr>
            <w:r>
              <w:rPr>
                <w:rFonts w:hint="eastAsia"/>
                <w:szCs w:val="21"/>
              </w:rPr>
              <w:t>上述评价结论是根据建设单位提供的生产规模、工艺流程、生产设备布局、原辅材料用量及与此对应的污染防治措施基础上得出的，如果生产品种、规模、工艺流程、生产设备布局和污染防治设施等发生重大变化，企业应按照环保部门要求另行申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95" w:hRule="atLeast"/>
          <w:jc w:val="center"/>
        </w:trPr>
        <w:tc>
          <w:tcPr>
            <w:tcW w:w="8865" w:type="dxa"/>
          </w:tcPr>
          <w:p>
            <w:r>
              <w:t>注释</w:t>
            </w:r>
          </w:p>
          <w:p>
            <w:pPr>
              <w:ind w:firstLine="420" w:firstLineChars="200"/>
              <w:rPr>
                <w:szCs w:val="21"/>
              </w:rPr>
            </w:pPr>
            <w:r>
              <w:rPr>
                <w:szCs w:val="21"/>
              </w:rPr>
              <w:t xml:space="preserve">本报告表附图、附件：  </w:t>
            </w:r>
          </w:p>
          <w:p>
            <w:pPr>
              <w:ind w:firstLine="420" w:firstLineChars="200"/>
              <w:rPr>
                <w:szCs w:val="21"/>
              </w:rPr>
            </w:pPr>
            <w:r>
              <w:rPr>
                <w:szCs w:val="21"/>
              </w:rPr>
              <w:t xml:space="preserve">附图  </w:t>
            </w:r>
          </w:p>
          <w:p>
            <w:pPr>
              <w:ind w:firstLine="420" w:firstLineChars="200"/>
              <w:rPr>
                <w:szCs w:val="21"/>
              </w:rPr>
            </w:pPr>
            <w:r>
              <w:rPr>
                <w:szCs w:val="21"/>
              </w:rPr>
              <w:t xml:space="preserve">附图1 </w:t>
            </w:r>
            <w:r>
              <w:rPr>
                <w:rFonts w:hint="eastAsia"/>
                <w:szCs w:val="21"/>
              </w:rPr>
              <w:t>建设项目地理位置图</w:t>
            </w:r>
            <w:r>
              <w:rPr>
                <w:szCs w:val="21"/>
              </w:rPr>
              <w:t>；</w:t>
            </w:r>
          </w:p>
          <w:p>
            <w:pPr>
              <w:ind w:firstLine="420" w:firstLineChars="200"/>
              <w:rPr>
                <w:szCs w:val="21"/>
              </w:rPr>
            </w:pPr>
            <w:r>
              <w:rPr>
                <w:szCs w:val="21"/>
              </w:rPr>
              <w:t xml:space="preserve">附图2 </w:t>
            </w:r>
            <w:r>
              <w:rPr>
                <w:rFonts w:hint="eastAsia"/>
                <w:szCs w:val="21"/>
              </w:rPr>
              <w:t>建设项目500米范围土地利用现状示意图</w:t>
            </w:r>
            <w:r>
              <w:rPr>
                <w:szCs w:val="21"/>
              </w:rPr>
              <w:t>；</w:t>
            </w:r>
          </w:p>
          <w:p>
            <w:pPr>
              <w:ind w:firstLine="420" w:firstLineChars="200"/>
              <w:rPr>
                <w:szCs w:val="21"/>
              </w:rPr>
            </w:pPr>
            <w:r>
              <w:rPr>
                <w:szCs w:val="21"/>
              </w:rPr>
              <w:t>附图3</w:t>
            </w:r>
            <w:r>
              <w:rPr>
                <w:rFonts w:hint="eastAsia"/>
                <w:szCs w:val="21"/>
                <w:lang w:val="en-US" w:eastAsia="zh-CN"/>
              </w:rPr>
              <w:t>-1</w:t>
            </w:r>
            <w:r>
              <w:rPr>
                <w:szCs w:val="21"/>
              </w:rPr>
              <w:t xml:space="preserve"> </w:t>
            </w:r>
            <w:r>
              <w:rPr>
                <w:rFonts w:hint="eastAsia"/>
                <w:szCs w:val="21"/>
              </w:rPr>
              <w:t>建设项目厂区平面布置图</w:t>
            </w:r>
            <w:r>
              <w:rPr>
                <w:szCs w:val="21"/>
              </w:rPr>
              <w:t>；</w:t>
            </w:r>
          </w:p>
          <w:p>
            <w:pPr>
              <w:ind w:firstLine="420" w:firstLineChars="200"/>
              <w:rPr>
                <w:szCs w:val="21"/>
              </w:rPr>
            </w:pPr>
            <w:r>
              <w:rPr>
                <w:szCs w:val="21"/>
              </w:rPr>
              <w:t>附图3</w:t>
            </w:r>
            <w:r>
              <w:rPr>
                <w:rFonts w:hint="eastAsia"/>
                <w:szCs w:val="21"/>
                <w:lang w:val="en-US" w:eastAsia="zh-CN"/>
              </w:rPr>
              <w:t>-2</w:t>
            </w:r>
            <w:r>
              <w:rPr>
                <w:szCs w:val="21"/>
              </w:rPr>
              <w:t xml:space="preserve"> </w:t>
            </w:r>
            <w:r>
              <w:rPr>
                <w:rFonts w:hint="eastAsia"/>
                <w:szCs w:val="21"/>
              </w:rPr>
              <w:t>建设项目</w:t>
            </w:r>
            <w:r>
              <w:rPr>
                <w:rFonts w:hint="eastAsia"/>
                <w:szCs w:val="21"/>
                <w:lang w:val="en-US" w:eastAsia="zh-CN"/>
              </w:rPr>
              <w:t>车间</w:t>
            </w:r>
            <w:r>
              <w:rPr>
                <w:rFonts w:hint="eastAsia"/>
                <w:szCs w:val="21"/>
              </w:rPr>
              <w:t>平面布置图</w:t>
            </w:r>
            <w:r>
              <w:rPr>
                <w:szCs w:val="21"/>
              </w:rPr>
              <w:t>；</w:t>
            </w:r>
          </w:p>
          <w:p>
            <w:pPr>
              <w:ind w:firstLine="420" w:firstLineChars="200"/>
              <w:rPr>
                <w:szCs w:val="21"/>
              </w:rPr>
            </w:pPr>
            <w:r>
              <w:rPr>
                <w:szCs w:val="21"/>
              </w:rPr>
              <w:t xml:space="preserve">附图4 </w:t>
            </w:r>
            <w:r>
              <w:rPr>
                <w:rFonts w:hint="eastAsia"/>
                <w:szCs w:val="21"/>
              </w:rPr>
              <w:t>建设项目与生态红线区域规划关系图</w:t>
            </w:r>
            <w:r>
              <w:rPr>
                <w:szCs w:val="21"/>
              </w:rPr>
              <w:t>；</w:t>
            </w:r>
          </w:p>
          <w:p>
            <w:pPr>
              <w:ind w:firstLine="420" w:firstLineChars="200"/>
              <w:rPr>
                <w:szCs w:val="21"/>
              </w:rPr>
            </w:pPr>
            <w:r>
              <w:rPr>
                <w:szCs w:val="21"/>
              </w:rPr>
              <w:t xml:space="preserve">附图5 </w:t>
            </w:r>
            <w:r>
              <w:rPr>
                <w:rFonts w:hint="eastAsia"/>
                <w:szCs w:val="21"/>
              </w:rPr>
              <w:t>建设项目与常州市环境管控单元关系图</w:t>
            </w:r>
            <w:r>
              <w:rPr>
                <w:szCs w:val="21"/>
              </w:rPr>
              <w:t>；</w:t>
            </w:r>
          </w:p>
          <w:p>
            <w:pPr>
              <w:ind w:firstLine="420" w:firstLineChars="200"/>
              <w:rPr>
                <w:rFonts w:hint="eastAsia" w:eastAsia="宋体"/>
                <w:szCs w:val="21"/>
                <w:lang w:eastAsia="zh-CN"/>
              </w:rPr>
            </w:pPr>
            <w:r>
              <w:rPr>
                <w:szCs w:val="21"/>
              </w:rPr>
              <w:t xml:space="preserve">附图6 </w:t>
            </w:r>
            <w:r>
              <w:rPr>
                <w:rFonts w:hint="eastAsia"/>
                <w:szCs w:val="21"/>
              </w:rPr>
              <w:t>建设项目区域水系图</w:t>
            </w:r>
            <w:r>
              <w:rPr>
                <w:rFonts w:hint="eastAsia"/>
                <w:szCs w:val="21"/>
                <w:lang w:eastAsia="zh-CN"/>
              </w:rPr>
              <w:t>；</w:t>
            </w:r>
          </w:p>
          <w:p>
            <w:pPr>
              <w:ind w:firstLine="420" w:firstLineChars="200"/>
              <w:rPr>
                <w:szCs w:val="21"/>
              </w:rPr>
            </w:pPr>
            <w:r>
              <w:rPr>
                <w:szCs w:val="21"/>
              </w:rPr>
              <w:t>附图</w:t>
            </w:r>
            <w:r>
              <w:rPr>
                <w:rFonts w:hint="eastAsia"/>
                <w:szCs w:val="21"/>
                <w:lang w:val="en-US" w:eastAsia="zh-CN"/>
              </w:rPr>
              <w:t>7</w:t>
            </w:r>
            <w:r>
              <w:rPr>
                <w:szCs w:val="21"/>
              </w:rPr>
              <w:t xml:space="preserve"> </w:t>
            </w:r>
            <w:r>
              <w:rPr>
                <w:rFonts w:hint="eastAsia"/>
                <w:szCs w:val="21"/>
              </w:rPr>
              <w:t>建设项目所在地规划图</w:t>
            </w:r>
            <w:r>
              <w:rPr>
                <w:szCs w:val="21"/>
              </w:rPr>
              <w:t>。</w:t>
            </w:r>
          </w:p>
          <w:p>
            <w:pPr>
              <w:ind w:firstLine="420" w:firstLineChars="200"/>
              <w:rPr>
                <w:szCs w:val="21"/>
              </w:rPr>
            </w:pPr>
            <w:r>
              <w:rPr>
                <w:szCs w:val="21"/>
              </w:rPr>
              <w:t xml:space="preserve">附件   </w:t>
            </w:r>
          </w:p>
          <w:p>
            <w:pPr>
              <w:ind w:firstLine="420" w:firstLineChars="200"/>
              <w:rPr>
                <w:szCs w:val="21"/>
              </w:rPr>
            </w:pPr>
            <w:r>
              <w:rPr>
                <w:szCs w:val="21"/>
              </w:rPr>
              <w:t>附件1  环评委托书；</w:t>
            </w:r>
          </w:p>
          <w:p>
            <w:pPr>
              <w:ind w:firstLine="420" w:firstLineChars="200"/>
              <w:rPr>
                <w:szCs w:val="21"/>
              </w:rPr>
            </w:pPr>
            <w:r>
              <w:rPr>
                <w:szCs w:val="21"/>
              </w:rPr>
              <w:t>附件2  江苏省投资项目备案证；</w:t>
            </w:r>
          </w:p>
          <w:p>
            <w:pPr>
              <w:ind w:firstLine="420" w:firstLineChars="200"/>
              <w:rPr>
                <w:szCs w:val="21"/>
              </w:rPr>
            </w:pPr>
            <w:r>
              <w:rPr>
                <w:szCs w:val="21"/>
              </w:rPr>
              <w:t>附件3  企业营业执照</w:t>
            </w:r>
            <w:r>
              <w:rPr>
                <w:rFonts w:hint="eastAsia"/>
                <w:szCs w:val="21"/>
              </w:rPr>
              <w:t>、法人身份证</w:t>
            </w:r>
            <w:r>
              <w:rPr>
                <w:szCs w:val="21"/>
              </w:rPr>
              <w:t>；</w:t>
            </w:r>
          </w:p>
          <w:p>
            <w:pPr>
              <w:ind w:firstLine="420" w:firstLineChars="200"/>
              <w:rPr>
                <w:szCs w:val="21"/>
              </w:rPr>
            </w:pPr>
            <w:r>
              <w:rPr>
                <w:szCs w:val="21"/>
              </w:rPr>
              <w:t xml:space="preserve">附件4  </w:t>
            </w:r>
            <w:r>
              <w:rPr>
                <w:rFonts w:hint="eastAsia"/>
                <w:szCs w:val="21"/>
              </w:rPr>
              <w:t>土地手续</w:t>
            </w:r>
            <w:r>
              <w:rPr>
                <w:szCs w:val="21"/>
              </w:rPr>
              <w:t>；</w:t>
            </w:r>
          </w:p>
          <w:p>
            <w:pPr>
              <w:ind w:firstLine="420" w:firstLineChars="200"/>
              <w:rPr>
                <w:szCs w:val="21"/>
              </w:rPr>
            </w:pPr>
            <w:r>
              <w:rPr>
                <w:szCs w:val="21"/>
              </w:rPr>
              <w:t xml:space="preserve">附件5  </w:t>
            </w:r>
            <w:r>
              <w:rPr>
                <w:rFonts w:hint="eastAsia"/>
                <w:szCs w:val="21"/>
              </w:rPr>
              <w:t>污水接管证明；</w:t>
            </w:r>
          </w:p>
          <w:p>
            <w:pPr>
              <w:ind w:firstLine="420" w:firstLineChars="200"/>
              <w:rPr>
                <w:szCs w:val="21"/>
              </w:rPr>
            </w:pPr>
            <w:r>
              <w:rPr>
                <w:szCs w:val="21"/>
              </w:rPr>
              <w:t>附件6  建设项目环境影响登记表；</w:t>
            </w:r>
          </w:p>
          <w:p>
            <w:pPr>
              <w:ind w:firstLine="420" w:firstLineChars="200"/>
              <w:rPr>
                <w:szCs w:val="21"/>
              </w:rPr>
            </w:pPr>
            <w:r>
              <w:rPr>
                <w:szCs w:val="21"/>
              </w:rPr>
              <w:t>附件</w:t>
            </w:r>
            <w:r>
              <w:rPr>
                <w:rFonts w:hint="eastAsia"/>
                <w:szCs w:val="21"/>
              </w:rPr>
              <w:t>7</w:t>
            </w:r>
            <w:r>
              <w:rPr>
                <w:szCs w:val="21"/>
              </w:rPr>
              <w:t xml:space="preserve">  编制主持人现场照片</w:t>
            </w:r>
            <w:r>
              <w:rPr>
                <w:rFonts w:hint="eastAsia"/>
                <w:szCs w:val="21"/>
              </w:rPr>
              <w:t>；</w:t>
            </w:r>
          </w:p>
          <w:p>
            <w:pPr>
              <w:ind w:firstLine="420" w:firstLineChars="200"/>
              <w:rPr>
                <w:szCs w:val="21"/>
              </w:rPr>
            </w:pPr>
            <w:r>
              <w:rPr>
                <w:szCs w:val="21"/>
              </w:rPr>
              <w:t>附件</w:t>
            </w:r>
            <w:r>
              <w:rPr>
                <w:rFonts w:hint="eastAsia"/>
                <w:szCs w:val="21"/>
              </w:rPr>
              <w:t>8</w:t>
            </w:r>
            <w:r>
              <w:rPr>
                <w:szCs w:val="21"/>
              </w:rPr>
              <w:t xml:space="preserve">  全文本公开证明材料；</w:t>
            </w:r>
          </w:p>
          <w:p>
            <w:pPr>
              <w:ind w:firstLine="420" w:firstLineChars="200"/>
              <w:rPr>
                <w:szCs w:val="21"/>
              </w:rPr>
            </w:pPr>
            <w:r>
              <w:rPr>
                <w:szCs w:val="21"/>
              </w:rPr>
              <w:t>附件</w:t>
            </w:r>
            <w:r>
              <w:rPr>
                <w:rFonts w:hint="eastAsia"/>
                <w:szCs w:val="21"/>
              </w:rPr>
              <w:t>9</w:t>
            </w:r>
            <w:r>
              <w:rPr>
                <w:szCs w:val="21"/>
              </w:rPr>
              <w:t xml:space="preserve"> </w:t>
            </w:r>
            <w:r>
              <w:rPr>
                <w:rFonts w:hint="eastAsia"/>
                <w:szCs w:val="21"/>
              </w:rPr>
              <w:t xml:space="preserve"> </w:t>
            </w:r>
            <w:r>
              <w:rPr>
                <w:szCs w:val="21"/>
              </w:rPr>
              <w:t>建设单位承诺书</w:t>
            </w:r>
            <w:r>
              <w:rPr>
                <w:rFonts w:hint="eastAsia"/>
                <w:szCs w:val="21"/>
              </w:rPr>
              <w:t>。</w:t>
            </w:r>
          </w:p>
          <w:p>
            <w:pPr>
              <w:pStyle w:val="8"/>
              <w:spacing w:before="0" w:after="0"/>
              <w:ind w:right="0" w:firstLine="360" w:firstLineChars="200"/>
            </w:pPr>
          </w:p>
        </w:tc>
      </w:tr>
    </w:tbl>
    <w:p>
      <w:pPr>
        <w:rPr>
          <w:rFonts w:ascii="宋体"/>
        </w:rPr>
        <w:sectPr>
          <w:pgSz w:w="11905" w:h="16838"/>
          <w:pgMar w:top="1701" w:right="1531" w:bottom="1701" w:left="1531" w:header="851" w:footer="850" w:gutter="0"/>
          <w:pgBorders>
            <w:top w:val="none" w:sz="0" w:space="0"/>
            <w:left w:val="none" w:sz="0" w:space="0"/>
            <w:bottom w:val="none" w:sz="0" w:space="0"/>
            <w:right w:val="none" w:sz="0" w:space="0"/>
          </w:pgBorders>
          <w:cols w:space="0" w:num="1"/>
          <w:rtlGutter w:val="0"/>
          <w:docGrid w:linePitch="312" w:charSpace="0"/>
        </w:sectPr>
      </w:pPr>
    </w:p>
    <w:p>
      <w:pPr>
        <w:pStyle w:val="17"/>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7"/>
        <w:adjustRightInd w:val="0"/>
        <w:snapToGrid w:val="0"/>
        <w:spacing w:before="0" w:beforeAutospacing="0" w:after="0" w:afterAutospacing="0" w:line="552" w:lineRule="auto"/>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1"/>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08"/>
        <w:gridCol w:w="709"/>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29"/>
              <w:spacing w:beforeLines="0" w:afterLines="0" w:line="240" w:lineRule="auto"/>
              <w:jc w:val="righ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项目</w:t>
            </w:r>
          </w:p>
          <w:p>
            <w:pPr>
              <w:pStyle w:val="29"/>
              <w:spacing w:beforeLines="0" w:afterLines="0" w:line="240" w:lineRule="auto"/>
              <w:jc w:val="left"/>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分类</w:t>
            </w:r>
          </w:p>
        </w:tc>
        <w:tc>
          <w:tcPr>
            <w:tcW w:w="1417" w:type="dxa"/>
            <w:gridSpan w:val="2"/>
            <w:tcMar>
              <w:left w:w="28" w:type="dxa"/>
              <w:right w:w="28" w:type="dxa"/>
            </w:tcMar>
            <w:vAlign w:val="center"/>
          </w:tcPr>
          <w:p>
            <w:pPr>
              <w:pStyle w:val="29"/>
              <w:spacing w:beforeLines="0" w:afterLines="0" w:line="240" w:lineRule="auto"/>
              <w:rPr>
                <w:rFonts w:ascii="黑体" w:hAnsi="黑体" w:eastAsia="黑体" w:cs="宋体"/>
                <w:snapToGrid w:val="0"/>
                <w:spacing w:val="-6"/>
                <w:kern w:val="21"/>
                <w:szCs w:val="21"/>
              </w:rPr>
            </w:pPr>
            <w:r>
              <w:rPr>
                <w:rFonts w:hint="eastAsia" w:ascii="黑体" w:hAnsi="黑体" w:eastAsia="黑体" w:cs="宋体"/>
                <w:snapToGrid w:val="0"/>
                <w:spacing w:val="-6"/>
                <w:kern w:val="21"/>
                <w:szCs w:val="21"/>
              </w:rPr>
              <w:t>污染物名称</w:t>
            </w:r>
          </w:p>
        </w:tc>
        <w:tc>
          <w:tcPr>
            <w:tcW w:w="1701" w:type="dxa"/>
            <w:tcMar>
              <w:left w:w="28" w:type="dxa"/>
              <w:right w:w="28" w:type="dxa"/>
            </w:tcMar>
            <w:vAlign w:val="center"/>
          </w:tcPr>
          <w:p>
            <w:pPr>
              <w:pStyle w:val="29"/>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现有工程</w:t>
            </w:r>
          </w:p>
          <w:p>
            <w:pPr>
              <w:pStyle w:val="29"/>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1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spacing w:val="-6"/>
                <w:kern w:val="21"/>
                <w:szCs w:val="21"/>
              </w:rPr>
              <w:fldChar w:fldCharType="end"/>
            </w:r>
          </w:p>
        </w:tc>
        <w:tc>
          <w:tcPr>
            <w:tcW w:w="1276" w:type="dxa"/>
            <w:tcMar>
              <w:left w:w="28" w:type="dxa"/>
              <w:right w:w="28" w:type="dxa"/>
            </w:tcMar>
            <w:vAlign w:val="center"/>
          </w:tcPr>
          <w:p>
            <w:pPr>
              <w:pStyle w:val="29"/>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现有工程</w:t>
            </w:r>
          </w:p>
          <w:p>
            <w:pPr>
              <w:pStyle w:val="29"/>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许可排放量</w:t>
            </w:r>
          </w:p>
          <w:p>
            <w:pPr>
              <w:pStyle w:val="29"/>
              <w:spacing w:beforeLines="0" w:afterLines="0"/>
              <w:rPr>
                <w:rFonts w:ascii="黑体" w:hAnsi="黑体" w:eastAsia="黑体"/>
                <w:snapToGrid w:val="0"/>
                <w:spacing w:val="-6"/>
                <w:kern w:val="21"/>
                <w:szCs w:val="21"/>
              </w:rPr>
            </w:pP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2 \* GB3 \* MERGEFORMAT </w:instrText>
            </w:r>
            <w:r>
              <w:rPr>
                <w:rFonts w:ascii="黑体" w:hAnsi="黑体" w:eastAsia="黑体"/>
                <w:snapToGrid w:val="0"/>
                <w:spacing w:val="-6"/>
                <w:kern w:val="21"/>
                <w:szCs w:val="21"/>
              </w:rPr>
              <w:fldChar w:fldCharType="separate"/>
            </w:r>
            <w:r>
              <w:rPr>
                <w:rFonts w:hint="eastAsia" w:ascii="黑体" w:hAnsi="黑体" w:eastAsia="黑体" w:cs="宋体"/>
                <w:snapToGrid w:val="0"/>
                <w:spacing w:val="-6"/>
                <w:kern w:val="21"/>
                <w:szCs w:val="21"/>
              </w:rPr>
              <w:t>②</w:t>
            </w:r>
            <w:r>
              <w:rPr>
                <w:rFonts w:ascii="黑体" w:hAnsi="黑体" w:eastAsia="黑体"/>
                <w:snapToGrid w:val="0"/>
                <w:spacing w:val="-6"/>
                <w:kern w:val="21"/>
                <w:szCs w:val="21"/>
              </w:rPr>
              <w:fldChar w:fldCharType="end"/>
            </w:r>
          </w:p>
        </w:tc>
        <w:tc>
          <w:tcPr>
            <w:tcW w:w="1701" w:type="dxa"/>
            <w:tcMar>
              <w:left w:w="28" w:type="dxa"/>
              <w:right w:w="28" w:type="dxa"/>
            </w:tcMar>
            <w:vAlign w:val="center"/>
          </w:tcPr>
          <w:p>
            <w:pPr>
              <w:pStyle w:val="29"/>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在建工程</w:t>
            </w:r>
          </w:p>
          <w:p>
            <w:pPr>
              <w:pStyle w:val="29"/>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3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spacing w:val="-6"/>
                <w:kern w:val="21"/>
                <w:szCs w:val="21"/>
              </w:rPr>
              <w:fldChar w:fldCharType="end"/>
            </w:r>
          </w:p>
        </w:tc>
        <w:tc>
          <w:tcPr>
            <w:tcW w:w="1559" w:type="dxa"/>
            <w:tcMar>
              <w:left w:w="28" w:type="dxa"/>
              <w:right w:w="28" w:type="dxa"/>
            </w:tcMar>
            <w:vAlign w:val="center"/>
          </w:tcPr>
          <w:p>
            <w:pPr>
              <w:pStyle w:val="29"/>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本项目</w:t>
            </w:r>
          </w:p>
          <w:p>
            <w:pPr>
              <w:pStyle w:val="29"/>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排放量（固</w:t>
            </w:r>
            <w:r>
              <w:rPr>
                <w:rFonts w:hint="eastAsia" w:ascii="黑体" w:hAnsi="黑体" w:eastAsia="黑体"/>
                <w:snapToGrid w:val="0"/>
                <w:spacing w:val="-6"/>
                <w:kern w:val="21"/>
                <w:szCs w:val="21"/>
              </w:rPr>
              <w:t>体</w:t>
            </w:r>
            <w:r>
              <w:rPr>
                <w:rFonts w:ascii="黑体" w:hAnsi="黑体" w:eastAsia="黑体"/>
                <w:snapToGrid w:val="0"/>
                <w:spacing w:val="-6"/>
                <w:kern w:val="21"/>
                <w:szCs w:val="21"/>
              </w:rPr>
              <w:t>废</w:t>
            </w:r>
            <w:r>
              <w:rPr>
                <w:rFonts w:hint="eastAsia" w:ascii="黑体" w:hAnsi="黑体" w:eastAsia="黑体"/>
                <w:snapToGrid w:val="0"/>
                <w:spacing w:val="-6"/>
                <w:kern w:val="21"/>
                <w:szCs w:val="21"/>
              </w:rPr>
              <w:t>物</w:t>
            </w:r>
            <w:r>
              <w:rPr>
                <w:rFonts w:ascii="黑体" w:hAnsi="黑体" w:eastAsia="黑体"/>
                <w:snapToGrid w:val="0"/>
                <w:spacing w:val="-6"/>
                <w:kern w:val="21"/>
                <w:szCs w:val="21"/>
              </w:rPr>
              <w:t>产生量）</w:t>
            </w: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4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spacing w:val="-6"/>
                <w:kern w:val="21"/>
                <w:szCs w:val="21"/>
              </w:rPr>
              <w:fldChar w:fldCharType="end"/>
            </w:r>
          </w:p>
        </w:tc>
        <w:tc>
          <w:tcPr>
            <w:tcW w:w="1761" w:type="dxa"/>
            <w:tcMar>
              <w:left w:w="28" w:type="dxa"/>
              <w:right w:w="28" w:type="dxa"/>
            </w:tcMar>
            <w:vAlign w:val="center"/>
          </w:tcPr>
          <w:p>
            <w:pPr>
              <w:pStyle w:val="29"/>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以新带老削减量</w:t>
            </w:r>
          </w:p>
          <w:p>
            <w:pPr>
              <w:pStyle w:val="29"/>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（新建项目不填）</w:t>
            </w:r>
            <w:r>
              <w:rPr>
                <w:rFonts w:ascii="黑体" w:hAnsi="黑体" w:eastAsia="黑体"/>
                <w:snapToGrid w:val="0"/>
                <w:spacing w:val="-16"/>
                <w:kern w:val="21"/>
                <w:szCs w:val="21"/>
              </w:rPr>
              <w:fldChar w:fldCharType="begin"/>
            </w:r>
            <w:r>
              <w:rPr>
                <w:rFonts w:ascii="黑体" w:hAnsi="黑体" w:eastAsia="黑体"/>
                <w:snapToGrid w:val="0"/>
                <w:spacing w:val="-16"/>
                <w:kern w:val="21"/>
                <w:szCs w:val="21"/>
              </w:rPr>
              <w:instrText xml:space="preserve"> = 5 \* GB3 \* MERGEFORMAT </w:instrText>
            </w:r>
            <w:r>
              <w:rPr>
                <w:rFonts w:ascii="黑体" w:hAnsi="黑体" w:eastAsia="黑体"/>
                <w:snapToGrid w:val="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spacing w:val="-16"/>
                <w:kern w:val="21"/>
                <w:szCs w:val="21"/>
              </w:rPr>
              <w:fldChar w:fldCharType="end"/>
            </w:r>
          </w:p>
        </w:tc>
        <w:tc>
          <w:tcPr>
            <w:tcW w:w="1959" w:type="dxa"/>
            <w:tcMar>
              <w:left w:w="28" w:type="dxa"/>
              <w:right w:w="28" w:type="dxa"/>
            </w:tcMar>
            <w:vAlign w:val="center"/>
          </w:tcPr>
          <w:p>
            <w:pPr>
              <w:pStyle w:val="29"/>
              <w:spacing w:beforeLines="0" w:afterLines="0" w:line="240" w:lineRule="auto"/>
              <w:rPr>
                <w:rFonts w:ascii="黑体" w:hAnsi="黑体" w:eastAsia="黑体"/>
                <w:snapToGrid w:val="0"/>
                <w:spacing w:val="-16"/>
                <w:kern w:val="21"/>
                <w:szCs w:val="21"/>
              </w:rPr>
            </w:pPr>
            <w:r>
              <w:rPr>
                <w:rFonts w:ascii="黑体" w:hAnsi="黑体" w:eastAsia="黑体"/>
                <w:snapToGrid w:val="0"/>
                <w:spacing w:val="-16"/>
                <w:kern w:val="21"/>
                <w:szCs w:val="21"/>
              </w:rPr>
              <w:t>本项目建成后</w:t>
            </w:r>
          </w:p>
          <w:p>
            <w:pPr>
              <w:pStyle w:val="29"/>
              <w:spacing w:beforeLines="0" w:afterLines="0" w:line="240" w:lineRule="auto"/>
              <w:rPr>
                <w:rFonts w:ascii="黑体" w:hAnsi="黑体" w:eastAsia="黑体"/>
                <w:snapToGrid w:val="0"/>
                <w:spacing w:val="-16"/>
                <w:kern w:val="21"/>
                <w:szCs w:val="21"/>
              </w:rPr>
            </w:pPr>
            <w:r>
              <w:rPr>
                <w:rFonts w:hint="eastAsia" w:ascii="黑体" w:hAnsi="黑体" w:eastAsia="黑体"/>
                <w:snapToGrid w:val="0"/>
                <w:spacing w:val="-16"/>
                <w:kern w:val="21"/>
                <w:szCs w:val="21"/>
              </w:rPr>
              <w:t>全厂</w:t>
            </w:r>
            <w:r>
              <w:rPr>
                <w:rFonts w:ascii="黑体" w:hAnsi="黑体" w:eastAsia="黑体"/>
                <w:snapToGrid w:val="0"/>
                <w:spacing w:val="-16"/>
                <w:kern w:val="21"/>
                <w:szCs w:val="21"/>
              </w:rPr>
              <w:t>排放量（固</w:t>
            </w:r>
            <w:r>
              <w:rPr>
                <w:rFonts w:hint="eastAsia" w:ascii="黑体" w:hAnsi="黑体" w:eastAsia="黑体"/>
                <w:snapToGrid w:val="0"/>
                <w:spacing w:val="-16"/>
                <w:kern w:val="21"/>
                <w:szCs w:val="21"/>
              </w:rPr>
              <w:t>体</w:t>
            </w:r>
            <w:r>
              <w:rPr>
                <w:rFonts w:ascii="黑体" w:hAnsi="黑体" w:eastAsia="黑体"/>
                <w:snapToGrid w:val="0"/>
                <w:spacing w:val="-16"/>
                <w:kern w:val="21"/>
                <w:szCs w:val="21"/>
              </w:rPr>
              <w:t>废</w:t>
            </w:r>
            <w:r>
              <w:rPr>
                <w:rFonts w:hint="eastAsia" w:ascii="黑体" w:hAnsi="黑体" w:eastAsia="黑体"/>
                <w:snapToGrid w:val="0"/>
                <w:spacing w:val="-16"/>
                <w:kern w:val="21"/>
                <w:szCs w:val="21"/>
              </w:rPr>
              <w:t>物</w:t>
            </w:r>
            <w:r>
              <w:rPr>
                <w:rFonts w:ascii="黑体" w:hAnsi="黑体" w:eastAsia="黑体"/>
                <w:snapToGrid w:val="0"/>
                <w:spacing w:val="-16"/>
                <w:kern w:val="21"/>
                <w:szCs w:val="21"/>
              </w:rPr>
              <w:t>产生量）</w:t>
            </w:r>
            <w:r>
              <w:rPr>
                <w:rFonts w:ascii="黑体" w:hAnsi="黑体" w:eastAsia="黑体"/>
                <w:snapToGrid w:val="0"/>
                <w:spacing w:val="-16"/>
                <w:kern w:val="21"/>
                <w:szCs w:val="21"/>
              </w:rPr>
              <w:fldChar w:fldCharType="begin"/>
            </w:r>
            <w:r>
              <w:rPr>
                <w:rFonts w:ascii="黑体" w:hAnsi="黑体" w:eastAsia="黑体"/>
                <w:snapToGrid w:val="0"/>
                <w:spacing w:val="-16"/>
                <w:kern w:val="21"/>
                <w:szCs w:val="21"/>
              </w:rPr>
              <w:instrText xml:space="preserve"> = 6 \* GB3 \* MERGEFORMAT </w:instrText>
            </w:r>
            <w:r>
              <w:rPr>
                <w:rFonts w:ascii="黑体" w:hAnsi="黑体" w:eastAsia="黑体"/>
                <w:snapToGrid w:val="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spacing w:val="-16"/>
                <w:kern w:val="21"/>
                <w:szCs w:val="21"/>
              </w:rPr>
              <w:fldChar w:fldCharType="end"/>
            </w:r>
          </w:p>
        </w:tc>
        <w:tc>
          <w:tcPr>
            <w:tcW w:w="826" w:type="dxa"/>
            <w:tcMar>
              <w:left w:w="28" w:type="dxa"/>
              <w:right w:w="28" w:type="dxa"/>
            </w:tcMar>
            <w:vAlign w:val="center"/>
          </w:tcPr>
          <w:p>
            <w:pPr>
              <w:pStyle w:val="29"/>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t>变化量</w:t>
            </w:r>
          </w:p>
          <w:p>
            <w:pPr>
              <w:pStyle w:val="29"/>
              <w:spacing w:beforeLines="0" w:afterLines="0" w:line="240" w:lineRule="auto"/>
              <w:rPr>
                <w:rFonts w:ascii="黑体" w:hAnsi="黑体" w:eastAsia="黑体"/>
                <w:snapToGrid w:val="0"/>
                <w:spacing w:val="-6"/>
                <w:kern w:val="21"/>
                <w:szCs w:val="21"/>
              </w:rPr>
            </w:pPr>
            <w:r>
              <w:rPr>
                <w:rFonts w:ascii="黑体" w:hAnsi="黑体" w:eastAsia="黑体"/>
                <w:snapToGrid w:val="0"/>
                <w:spacing w:val="-6"/>
                <w:kern w:val="21"/>
                <w:szCs w:val="21"/>
              </w:rPr>
              <w:fldChar w:fldCharType="begin"/>
            </w:r>
            <w:r>
              <w:rPr>
                <w:rFonts w:ascii="黑体" w:hAnsi="黑体" w:eastAsia="黑体"/>
                <w:snapToGrid w:val="0"/>
                <w:spacing w:val="-6"/>
                <w:kern w:val="21"/>
                <w:szCs w:val="21"/>
              </w:rPr>
              <w:instrText xml:space="preserve"> = 7 \* GB3 \* MERGEFORMAT </w:instrText>
            </w:r>
            <w:r>
              <w:rPr>
                <w:rFonts w:ascii="黑体" w:hAnsi="黑体" w:eastAsia="黑体"/>
                <w:snapToGrid w:val="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trPr>
        <w:tc>
          <w:tcPr>
            <w:tcW w:w="1588" w:type="dxa"/>
            <w:vMerge w:val="restart"/>
            <w:vAlign w:val="center"/>
          </w:tcPr>
          <w:p>
            <w:pPr>
              <w:pStyle w:val="29"/>
              <w:spacing w:beforeLines="0" w:afterLines="0" w:line="240" w:lineRule="auto"/>
              <w:rPr>
                <w:rFonts w:hint="eastAsia" w:hAnsi="宋体" w:eastAsia="宋体" w:cs="宋体"/>
                <w:snapToGrid w:val="0"/>
                <w:kern w:val="21"/>
                <w:szCs w:val="21"/>
                <w:lang w:val="en-US" w:eastAsia="zh-CN"/>
              </w:rPr>
            </w:pPr>
            <w:r>
              <w:rPr>
                <w:rFonts w:hint="eastAsia" w:hAnsi="宋体" w:cs="宋体"/>
                <w:snapToGrid w:val="0"/>
                <w:kern w:val="21"/>
                <w:szCs w:val="21"/>
                <w:lang w:val="en-US" w:eastAsia="zh-CN"/>
              </w:rPr>
              <w:t>废气</w:t>
            </w:r>
          </w:p>
        </w:tc>
        <w:tc>
          <w:tcPr>
            <w:tcW w:w="708" w:type="dxa"/>
            <w:vAlign w:val="center"/>
          </w:tcPr>
          <w:p>
            <w:pPr>
              <w:pStyle w:val="29"/>
              <w:spacing w:beforeLines="0" w:afterLines="0" w:line="240" w:lineRule="auto"/>
              <w:rPr>
                <w:rFonts w:hint="eastAsia" w:ascii="Times New Roman" w:eastAsia="宋体"/>
                <w:snapToGrid w:val="0"/>
                <w:kern w:val="21"/>
                <w:szCs w:val="21"/>
                <w:lang w:val="en-US" w:eastAsia="zh-CN"/>
              </w:rPr>
            </w:pPr>
            <w:r>
              <w:rPr>
                <w:rFonts w:hint="eastAsia" w:ascii="Times New Roman"/>
                <w:snapToGrid w:val="0"/>
                <w:kern w:val="21"/>
                <w:szCs w:val="21"/>
                <w:lang w:val="en-US" w:eastAsia="zh-CN"/>
              </w:rPr>
              <w:t>有组织</w:t>
            </w:r>
          </w:p>
        </w:tc>
        <w:tc>
          <w:tcPr>
            <w:tcW w:w="709" w:type="dxa"/>
            <w:vAlign w:val="center"/>
          </w:tcPr>
          <w:p>
            <w:pPr>
              <w:pStyle w:val="29"/>
              <w:spacing w:beforeLines="0" w:afterLines="0" w:line="240" w:lineRule="auto"/>
              <w:rPr>
                <w:rFonts w:hint="eastAsia" w:ascii="Times New Roman" w:eastAsia="宋体"/>
                <w:snapToGrid w:val="0"/>
                <w:kern w:val="21"/>
                <w:szCs w:val="21"/>
                <w:lang w:val="en-US" w:eastAsia="zh-CN"/>
              </w:rPr>
            </w:pPr>
            <w:r>
              <w:rPr>
                <w:rFonts w:hint="eastAsia" w:ascii="Times New Roman"/>
                <w:snapToGrid w:val="0"/>
                <w:kern w:val="21"/>
                <w:szCs w:val="21"/>
                <w:lang w:val="en-US" w:eastAsia="zh-CN"/>
              </w:rPr>
              <w:t>非甲烷总烃</w:t>
            </w:r>
          </w:p>
        </w:tc>
        <w:tc>
          <w:tcPr>
            <w:tcW w:w="1701" w:type="dxa"/>
            <w:vAlign w:val="center"/>
          </w:tcPr>
          <w:p>
            <w:pPr>
              <w:jc w:val="center"/>
              <w:rPr>
                <w:rFonts w:hint="eastAsia"/>
                <w:snapToGrid w:val="0"/>
                <w:kern w:val="21"/>
                <w:szCs w:val="21"/>
              </w:rPr>
            </w:pPr>
            <w:r>
              <w:rPr>
                <w:rFonts w:hint="eastAsia"/>
                <w:snapToGrid w:val="0"/>
                <w:kern w:val="21"/>
                <w:szCs w:val="21"/>
              </w:rPr>
              <w:t>0</w:t>
            </w:r>
          </w:p>
        </w:tc>
        <w:tc>
          <w:tcPr>
            <w:tcW w:w="1276" w:type="dxa"/>
            <w:vAlign w:val="center"/>
          </w:tcPr>
          <w:p>
            <w:pPr>
              <w:jc w:val="center"/>
              <w:rPr>
                <w:rFonts w:hint="eastAsia"/>
                <w:snapToGrid w:val="0"/>
                <w:kern w:val="21"/>
                <w:szCs w:val="21"/>
              </w:rPr>
            </w:pPr>
            <w:r>
              <w:rPr>
                <w:rFonts w:hint="eastAsia"/>
                <w:snapToGrid w:val="0"/>
                <w:kern w:val="21"/>
                <w:szCs w:val="21"/>
              </w:rPr>
              <w:t>0</w:t>
            </w:r>
          </w:p>
        </w:tc>
        <w:tc>
          <w:tcPr>
            <w:tcW w:w="1701" w:type="dxa"/>
            <w:vAlign w:val="center"/>
          </w:tcPr>
          <w:p>
            <w:pPr>
              <w:jc w:val="center"/>
              <w:rPr>
                <w:rFonts w:hint="eastAsia"/>
                <w:snapToGrid w:val="0"/>
                <w:kern w:val="21"/>
                <w:szCs w:val="21"/>
              </w:rPr>
            </w:pPr>
            <w:r>
              <w:rPr>
                <w:rFonts w:hint="eastAsia"/>
                <w:snapToGrid w:val="0"/>
                <w:kern w:val="21"/>
                <w:szCs w:val="21"/>
              </w:rPr>
              <w:t>0</w:t>
            </w:r>
          </w:p>
        </w:tc>
        <w:tc>
          <w:tcPr>
            <w:tcW w:w="1559" w:type="dxa"/>
            <w:tcBorders>
              <w:left w:val="single" w:color="auto" w:sz="2" w:space="0"/>
            </w:tcBorders>
            <w:vAlign w:val="center"/>
          </w:tcPr>
          <w:p>
            <w:pPr>
              <w:jc w:val="center"/>
              <w:rPr>
                <w:rFonts w:hint="eastAsia"/>
                <w:snapToGrid w:val="0"/>
                <w:kern w:val="21"/>
                <w:szCs w:val="21"/>
                <w:lang w:val="en-US" w:eastAsia="zh-CN"/>
              </w:rPr>
            </w:pPr>
            <w:r>
              <w:rPr>
                <w:rFonts w:hint="eastAsia"/>
                <w:snapToGrid w:val="0"/>
                <w:kern w:val="21"/>
                <w:szCs w:val="21"/>
                <w:lang w:val="en-US" w:eastAsia="zh-CN"/>
              </w:rPr>
              <w:t>0.01125t/a</w:t>
            </w:r>
          </w:p>
        </w:tc>
        <w:tc>
          <w:tcPr>
            <w:tcW w:w="1761" w:type="dxa"/>
            <w:vAlign w:val="center"/>
          </w:tcPr>
          <w:p>
            <w:pPr>
              <w:pStyle w:val="29"/>
              <w:spacing w:beforeLines="0" w:afterLines="0" w:line="240" w:lineRule="auto"/>
              <w:rPr>
                <w:rFonts w:hint="eastAsia" w:ascii="Times New Roman"/>
                <w:snapToGrid w:val="0"/>
                <w:kern w:val="21"/>
                <w:szCs w:val="21"/>
              </w:rPr>
            </w:pPr>
            <w:r>
              <w:rPr>
                <w:rFonts w:hint="eastAsia" w:ascii="Times New Roman"/>
                <w:snapToGrid w:val="0"/>
                <w:kern w:val="21"/>
                <w:szCs w:val="21"/>
              </w:rPr>
              <w:t>0</w:t>
            </w:r>
          </w:p>
        </w:tc>
        <w:tc>
          <w:tcPr>
            <w:tcW w:w="1959" w:type="dxa"/>
            <w:tcBorders>
              <w:left w:val="single" w:color="auto" w:sz="2" w:space="0"/>
            </w:tcBorders>
            <w:vAlign w:val="center"/>
          </w:tcPr>
          <w:p>
            <w:pPr>
              <w:jc w:val="center"/>
              <w:rPr>
                <w:rFonts w:hint="eastAsia"/>
                <w:snapToGrid w:val="0"/>
                <w:kern w:val="21"/>
                <w:szCs w:val="21"/>
                <w:lang w:val="en-US" w:eastAsia="zh-CN"/>
              </w:rPr>
            </w:pPr>
            <w:r>
              <w:rPr>
                <w:rFonts w:hint="eastAsia"/>
                <w:snapToGrid w:val="0"/>
                <w:kern w:val="21"/>
                <w:szCs w:val="21"/>
                <w:lang w:val="en-US" w:eastAsia="zh-CN"/>
              </w:rPr>
              <w:t>0.01125t/a</w:t>
            </w:r>
          </w:p>
        </w:tc>
        <w:tc>
          <w:tcPr>
            <w:tcW w:w="826" w:type="dxa"/>
            <w:tcBorders>
              <w:left w:val="single" w:color="auto" w:sz="2" w:space="0"/>
            </w:tcBorders>
            <w:vAlign w:val="center"/>
          </w:tcPr>
          <w:p>
            <w:pPr>
              <w:jc w:val="center"/>
              <w:rPr>
                <w:rFonts w:hint="eastAsia"/>
                <w:snapToGrid w:val="0"/>
                <w:kern w:val="21"/>
                <w:szCs w:val="21"/>
                <w:lang w:val="en-US" w:eastAsia="zh-CN"/>
              </w:rPr>
            </w:pPr>
            <w:r>
              <w:rPr>
                <w:rFonts w:hint="eastAsia"/>
                <w:snapToGrid w:val="0"/>
                <w:kern w:val="21"/>
                <w:szCs w:val="21"/>
                <w:lang w:val="en-US" w:eastAsia="zh-CN"/>
              </w:rPr>
              <w:t>+0.01125t/a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trPr>
        <w:tc>
          <w:tcPr>
            <w:tcW w:w="1588" w:type="dxa"/>
            <w:vMerge w:val="continue"/>
            <w:vAlign w:val="center"/>
          </w:tcPr>
          <w:p>
            <w:pPr>
              <w:pStyle w:val="29"/>
              <w:spacing w:beforeLines="0" w:afterLines="0" w:line="240" w:lineRule="auto"/>
              <w:rPr>
                <w:rFonts w:hint="eastAsia" w:hAnsi="宋体" w:cs="宋体"/>
                <w:snapToGrid w:val="0"/>
                <w:kern w:val="21"/>
                <w:szCs w:val="21"/>
              </w:rPr>
            </w:pPr>
          </w:p>
        </w:tc>
        <w:tc>
          <w:tcPr>
            <w:tcW w:w="708" w:type="dxa"/>
            <w:vAlign w:val="center"/>
          </w:tcPr>
          <w:p>
            <w:pPr>
              <w:pStyle w:val="29"/>
              <w:spacing w:beforeLines="0" w:afterLines="0" w:line="240" w:lineRule="auto"/>
              <w:rPr>
                <w:rFonts w:hint="eastAsia" w:ascii="Times New Roman" w:eastAsia="宋体"/>
                <w:snapToGrid w:val="0"/>
                <w:kern w:val="21"/>
                <w:szCs w:val="21"/>
                <w:lang w:val="en-US" w:eastAsia="zh-CN"/>
              </w:rPr>
            </w:pPr>
            <w:r>
              <w:rPr>
                <w:rFonts w:hint="eastAsia" w:ascii="Times New Roman"/>
                <w:snapToGrid w:val="0"/>
                <w:kern w:val="21"/>
                <w:szCs w:val="21"/>
                <w:lang w:val="en-US" w:eastAsia="zh-CN"/>
              </w:rPr>
              <w:t>无组织</w:t>
            </w:r>
          </w:p>
        </w:tc>
        <w:tc>
          <w:tcPr>
            <w:tcW w:w="709" w:type="dxa"/>
            <w:vAlign w:val="center"/>
          </w:tcPr>
          <w:p>
            <w:pPr>
              <w:pStyle w:val="29"/>
              <w:spacing w:beforeLines="0" w:afterLines="0" w:line="240" w:lineRule="auto"/>
              <w:rPr>
                <w:rFonts w:hint="eastAsia" w:ascii="Times New Roman"/>
                <w:snapToGrid w:val="0"/>
                <w:kern w:val="21"/>
                <w:szCs w:val="21"/>
              </w:rPr>
            </w:pPr>
            <w:r>
              <w:rPr>
                <w:rFonts w:hint="eastAsia" w:ascii="Times New Roman"/>
                <w:snapToGrid w:val="0"/>
                <w:kern w:val="21"/>
                <w:szCs w:val="21"/>
                <w:lang w:val="en-US" w:eastAsia="zh-CN"/>
              </w:rPr>
              <w:t>非甲烷总烃</w:t>
            </w:r>
          </w:p>
        </w:tc>
        <w:tc>
          <w:tcPr>
            <w:tcW w:w="1701" w:type="dxa"/>
            <w:vAlign w:val="center"/>
          </w:tcPr>
          <w:p>
            <w:pPr>
              <w:jc w:val="center"/>
              <w:rPr>
                <w:rFonts w:hint="eastAsia"/>
                <w:snapToGrid w:val="0"/>
                <w:kern w:val="21"/>
                <w:szCs w:val="21"/>
              </w:rPr>
            </w:pPr>
            <w:r>
              <w:rPr>
                <w:rFonts w:hint="eastAsia"/>
                <w:snapToGrid w:val="0"/>
                <w:kern w:val="21"/>
                <w:szCs w:val="21"/>
              </w:rPr>
              <w:t>0</w:t>
            </w:r>
          </w:p>
        </w:tc>
        <w:tc>
          <w:tcPr>
            <w:tcW w:w="1276" w:type="dxa"/>
            <w:vAlign w:val="center"/>
          </w:tcPr>
          <w:p>
            <w:pPr>
              <w:jc w:val="center"/>
              <w:rPr>
                <w:rFonts w:hint="eastAsia"/>
                <w:snapToGrid w:val="0"/>
                <w:kern w:val="21"/>
                <w:szCs w:val="21"/>
              </w:rPr>
            </w:pPr>
            <w:r>
              <w:rPr>
                <w:rFonts w:hint="eastAsia"/>
                <w:snapToGrid w:val="0"/>
                <w:kern w:val="21"/>
                <w:szCs w:val="21"/>
              </w:rPr>
              <w:t>0</w:t>
            </w:r>
          </w:p>
        </w:tc>
        <w:tc>
          <w:tcPr>
            <w:tcW w:w="1701" w:type="dxa"/>
            <w:vAlign w:val="center"/>
          </w:tcPr>
          <w:p>
            <w:pPr>
              <w:jc w:val="center"/>
              <w:rPr>
                <w:rFonts w:hint="eastAsia"/>
                <w:snapToGrid w:val="0"/>
                <w:kern w:val="21"/>
                <w:szCs w:val="21"/>
              </w:rPr>
            </w:pPr>
            <w:r>
              <w:rPr>
                <w:rFonts w:hint="eastAsia"/>
                <w:snapToGrid w:val="0"/>
                <w:kern w:val="21"/>
                <w:szCs w:val="21"/>
              </w:rPr>
              <w:t>0</w:t>
            </w:r>
          </w:p>
        </w:tc>
        <w:tc>
          <w:tcPr>
            <w:tcW w:w="1559" w:type="dxa"/>
            <w:tcBorders>
              <w:left w:val="single" w:color="auto" w:sz="2" w:space="0"/>
            </w:tcBorders>
            <w:vAlign w:val="center"/>
          </w:tcPr>
          <w:p>
            <w:pPr>
              <w:jc w:val="center"/>
              <w:rPr>
                <w:rFonts w:hint="eastAsia"/>
                <w:snapToGrid w:val="0"/>
                <w:kern w:val="21"/>
                <w:szCs w:val="21"/>
                <w:lang w:val="en-US" w:eastAsia="zh-CN"/>
              </w:rPr>
            </w:pPr>
            <w:r>
              <w:rPr>
                <w:rFonts w:hint="eastAsia"/>
                <w:snapToGrid w:val="0"/>
                <w:kern w:val="21"/>
                <w:szCs w:val="21"/>
                <w:lang w:val="en-US" w:eastAsia="zh-CN"/>
              </w:rPr>
              <w:t>0.0125t/a</w:t>
            </w:r>
          </w:p>
        </w:tc>
        <w:tc>
          <w:tcPr>
            <w:tcW w:w="1761" w:type="dxa"/>
            <w:vAlign w:val="center"/>
          </w:tcPr>
          <w:p>
            <w:pPr>
              <w:pStyle w:val="29"/>
              <w:spacing w:beforeLines="0" w:afterLines="0" w:line="240" w:lineRule="auto"/>
              <w:rPr>
                <w:rFonts w:hint="eastAsia" w:ascii="Times New Roman"/>
                <w:snapToGrid w:val="0"/>
                <w:kern w:val="21"/>
                <w:szCs w:val="21"/>
              </w:rPr>
            </w:pPr>
            <w:r>
              <w:rPr>
                <w:rFonts w:hint="eastAsia" w:ascii="Times New Roman"/>
                <w:snapToGrid w:val="0"/>
                <w:kern w:val="21"/>
                <w:szCs w:val="21"/>
              </w:rPr>
              <w:t>0</w:t>
            </w:r>
          </w:p>
        </w:tc>
        <w:tc>
          <w:tcPr>
            <w:tcW w:w="1959" w:type="dxa"/>
            <w:tcBorders>
              <w:left w:val="single" w:color="auto" w:sz="2" w:space="0"/>
            </w:tcBorders>
            <w:vAlign w:val="center"/>
          </w:tcPr>
          <w:p>
            <w:pPr>
              <w:jc w:val="center"/>
              <w:rPr>
                <w:rFonts w:hint="eastAsia"/>
                <w:snapToGrid w:val="0"/>
                <w:kern w:val="21"/>
                <w:szCs w:val="21"/>
                <w:lang w:val="en-US" w:eastAsia="zh-CN"/>
              </w:rPr>
            </w:pPr>
            <w:r>
              <w:rPr>
                <w:rFonts w:hint="eastAsia"/>
                <w:snapToGrid w:val="0"/>
                <w:kern w:val="21"/>
                <w:szCs w:val="21"/>
                <w:lang w:val="en-US" w:eastAsia="zh-CN"/>
              </w:rPr>
              <w:t>0.0125t/a</w:t>
            </w:r>
          </w:p>
        </w:tc>
        <w:tc>
          <w:tcPr>
            <w:tcW w:w="826" w:type="dxa"/>
            <w:tcBorders>
              <w:left w:val="single" w:color="auto" w:sz="2" w:space="0"/>
            </w:tcBorders>
            <w:vAlign w:val="center"/>
          </w:tcPr>
          <w:p>
            <w:pPr>
              <w:jc w:val="center"/>
              <w:rPr>
                <w:rFonts w:hint="eastAsia"/>
                <w:snapToGrid w:val="0"/>
                <w:kern w:val="21"/>
                <w:szCs w:val="21"/>
                <w:lang w:val="en-US" w:eastAsia="zh-CN"/>
              </w:rPr>
            </w:pPr>
            <w:r>
              <w:rPr>
                <w:rFonts w:hint="eastAsia"/>
                <w:snapToGrid w:val="0"/>
                <w:kern w:val="21"/>
                <w:szCs w:val="21"/>
                <w:lang w:val="en-US" w:eastAsia="zh-CN"/>
              </w:rPr>
              <w:t>+0.0125t/a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8" w:type="dxa"/>
            <w:vMerge w:val="restart"/>
            <w:vAlign w:val="center"/>
          </w:tcPr>
          <w:p>
            <w:pPr>
              <w:pStyle w:val="29"/>
              <w:spacing w:beforeLines="0" w:afterLines="0" w:line="240" w:lineRule="auto"/>
              <w:rPr>
                <w:rFonts w:hAnsi="宋体" w:cs="宋体"/>
                <w:snapToGrid w:val="0"/>
                <w:kern w:val="21"/>
                <w:szCs w:val="21"/>
              </w:rPr>
            </w:pPr>
            <w:r>
              <w:rPr>
                <w:rFonts w:hint="eastAsia" w:hAnsi="宋体" w:cs="宋体"/>
                <w:snapToGrid w:val="0"/>
                <w:kern w:val="21"/>
                <w:szCs w:val="21"/>
              </w:rPr>
              <w:t>废水</w:t>
            </w:r>
          </w:p>
        </w:tc>
        <w:tc>
          <w:tcPr>
            <w:tcW w:w="1417" w:type="dxa"/>
            <w:gridSpan w:val="2"/>
            <w:vAlign w:val="center"/>
          </w:tcPr>
          <w:p>
            <w:pPr>
              <w:pStyle w:val="29"/>
              <w:spacing w:beforeLines="0" w:afterLines="0" w:line="240" w:lineRule="auto"/>
              <w:rPr>
                <w:rFonts w:ascii="Times New Roman"/>
                <w:snapToGrid w:val="0"/>
                <w:kern w:val="21"/>
                <w:szCs w:val="21"/>
              </w:rPr>
            </w:pPr>
            <w:r>
              <w:rPr>
                <w:rFonts w:hint="eastAsia" w:ascii="Times New Roman"/>
                <w:snapToGrid w:val="0"/>
                <w:kern w:val="21"/>
                <w:szCs w:val="21"/>
              </w:rPr>
              <w:t>水量</w:t>
            </w:r>
          </w:p>
        </w:tc>
        <w:tc>
          <w:tcPr>
            <w:tcW w:w="1701" w:type="dxa"/>
            <w:vAlign w:val="center"/>
          </w:tcPr>
          <w:p>
            <w:pPr>
              <w:jc w:val="center"/>
              <w:rPr>
                <w:snapToGrid w:val="0"/>
                <w:kern w:val="21"/>
                <w:szCs w:val="21"/>
              </w:rPr>
            </w:pPr>
            <w:r>
              <w:rPr>
                <w:rFonts w:hint="eastAsia"/>
                <w:snapToGrid w:val="0"/>
                <w:kern w:val="21"/>
                <w:szCs w:val="21"/>
              </w:rPr>
              <w:t>0</w:t>
            </w:r>
          </w:p>
        </w:tc>
        <w:tc>
          <w:tcPr>
            <w:tcW w:w="1276" w:type="dxa"/>
            <w:vAlign w:val="center"/>
          </w:tcPr>
          <w:p>
            <w:pPr>
              <w:jc w:val="center"/>
              <w:rPr>
                <w:snapToGrid w:val="0"/>
                <w:kern w:val="21"/>
                <w:szCs w:val="21"/>
              </w:rPr>
            </w:pPr>
            <w:r>
              <w:rPr>
                <w:rFonts w:hint="eastAsia"/>
                <w:snapToGrid w:val="0"/>
                <w:kern w:val="21"/>
                <w:szCs w:val="21"/>
              </w:rPr>
              <w:t>0</w:t>
            </w:r>
          </w:p>
        </w:tc>
        <w:tc>
          <w:tcPr>
            <w:tcW w:w="1701" w:type="dxa"/>
            <w:vAlign w:val="center"/>
          </w:tcPr>
          <w:p>
            <w:pPr>
              <w:jc w:val="center"/>
              <w:rPr>
                <w:snapToGrid w:val="0"/>
                <w:kern w:val="21"/>
                <w:szCs w:val="21"/>
              </w:rPr>
            </w:pPr>
            <w:r>
              <w:rPr>
                <w:rFonts w:hint="eastAsia"/>
                <w:snapToGrid w:val="0"/>
                <w:kern w:val="21"/>
                <w:szCs w:val="21"/>
              </w:rPr>
              <w:t>0</w:t>
            </w:r>
          </w:p>
        </w:tc>
        <w:tc>
          <w:tcPr>
            <w:tcW w:w="1559" w:type="dxa"/>
            <w:tcBorders>
              <w:left w:val="single" w:color="auto" w:sz="2" w:space="0"/>
            </w:tcBorders>
            <w:vAlign w:val="center"/>
          </w:tcPr>
          <w:p>
            <w:pPr>
              <w:jc w:val="center"/>
              <w:rPr>
                <w:rFonts w:hint="default"/>
                <w:snapToGrid w:val="0"/>
                <w:kern w:val="21"/>
                <w:szCs w:val="21"/>
                <w:lang w:val="en-US"/>
              </w:rPr>
            </w:pPr>
            <w:r>
              <w:rPr>
                <w:rFonts w:hint="eastAsia"/>
                <w:snapToGrid w:val="0"/>
                <w:kern w:val="21"/>
                <w:szCs w:val="21"/>
                <w:lang w:val="en-US" w:eastAsia="zh-CN"/>
              </w:rPr>
              <w:t>192t/a</w:t>
            </w:r>
          </w:p>
        </w:tc>
        <w:tc>
          <w:tcPr>
            <w:tcW w:w="1761" w:type="dxa"/>
            <w:vAlign w:val="center"/>
          </w:tcPr>
          <w:p>
            <w:pPr>
              <w:pStyle w:val="29"/>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959" w:type="dxa"/>
            <w:tcBorders>
              <w:left w:val="single" w:color="auto" w:sz="2" w:space="0"/>
            </w:tcBorders>
            <w:vAlign w:val="center"/>
          </w:tcPr>
          <w:p>
            <w:pPr>
              <w:jc w:val="center"/>
              <w:rPr>
                <w:snapToGrid w:val="0"/>
                <w:kern w:val="21"/>
                <w:szCs w:val="21"/>
              </w:rPr>
            </w:pPr>
            <w:r>
              <w:rPr>
                <w:rFonts w:hint="eastAsia"/>
                <w:snapToGrid w:val="0"/>
                <w:kern w:val="21"/>
                <w:szCs w:val="21"/>
                <w:lang w:val="en-US" w:eastAsia="zh-CN"/>
              </w:rPr>
              <w:t>192t/a</w:t>
            </w:r>
          </w:p>
        </w:tc>
        <w:tc>
          <w:tcPr>
            <w:tcW w:w="826" w:type="dxa"/>
            <w:tcBorders>
              <w:left w:val="single" w:color="auto" w:sz="2" w:space="0"/>
            </w:tcBorders>
            <w:vAlign w:val="center"/>
          </w:tcPr>
          <w:p>
            <w:pPr>
              <w:jc w:val="center"/>
              <w:rPr>
                <w:szCs w:val="21"/>
              </w:rPr>
            </w:pPr>
            <w:r>
              <w:rPr>
                <w:rFonts w:hint="eastAsia"/>
                <w:snapToGrid w:val="0"/>
                <w:kern w:val="21"/>
                <w:szCs w:val="21"/>
                <w:lang w:val="en-US" w:eastAsia="zh-CN"/>
              </w:rPr>
              <w:t>+192t/a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8" w:type="dxa"/>
            <w:vMerge w:val="continue"/>
            <w:vAlign w:val="center"/>
          </w:tcPr>
          <w:p>
            <w:pPr>
              <w:pStyle w:val="29"/>
              <w:spacing w:beforeLines="0" w:afterLines="0" w:line="240" w:lineRule="auto"/>
              <w:rPr>
                <w:rFonts w:hAnsi="宋体" w:cs="宋体"/>
                <w:snapToGrid w:val="0"/>
                <w:kern w:val="21"/>
                <w:szCs w:val="21"/>
              </w:rPr>
            </w:pPr>
          </w:p>
        </w:tc>
        <w:tc>
          <w:tcPr>
            <w:tcW w:w="1417" w:type="dxa"/>
            <w:gridSpan w:val="2"/>
            <w:vAlign w:val="center"/>
          </w:tcPr>
          <w:p>
            <w:pPr>
              <w:pStyle w:val="29"/>
              <w:spacing w:beforeLines="0" w:afterLines="0" w:line="240" w:lineRule="auto"/>
              <w:rPr>
                <w:rFonts w:ascii="Times New Roman"/>
                <w:snapToGrid w:val="0"/>
                <w:kern w:val="21"/>
                <w:szCs w:val="21"/>
              </w:rPr>
            </w:pPr>
            <w:r>
              <w:rPr>
                <w:rFonts w:ascii="Times New Roman"/>
                <w:snapToGrid w:val="0"/>
                <w:kern w:val="21"/>
                <w:szCs w:val="21"/>
              </w:rPr>
              <w:t>COD</w:t>
            </w:r>
          </w:p>
        </w:tc>
        <w:tc>
          <w:tcPr>
            <w:tcW w:w="1701" w:type="dxa"/>
            <w:vAlign w:val="center"/>
          </w:tcPr>
          <w:p>
            <w:pPr>
              <w:jc w:val="center"/>
              <w:rPr>
                <w:snapToGrid w:val="0"/>
                <w:kern w:val="21"/>
                <w:szCs w:val="21"/>
              </w:rPr>
            </w:pPr>
            <w:r>
              <w:rPr>
                <w:snapToGrid w:val="0"/>
                <w:kern w:val="21"/>
                <w:szCs w:val="21"/>
              </w:rPr>
              <w:t>0</w:t>
            </w:r>
          </w:p>
        </w:tc>
        <w:tc>
          <w:tcPr>
            <w:tcW w:w="1276" w:type="dxa"/>
            <w:vAlign w:val="center"/>
          </w:tcPr>
          <w:p>
            <w:pPr>
              <w:jc w:val="center"/>
              <w:rPr>
                <w:snapToGrid w:val="0"/>
                <w:kern w:val="21"/>
                <w:szCs w:val="21"/>
              </w:rPr>
            </w:pPr>
            <w:r>
              <w:rPr>
                <w:snapToGrid w:val="0"/>
                <w:kern w:val="21"/>
                <w:szCs w:val="21"/>
              </w:rPr>
              <w:t>0</w:t>
            </w:r>
          </w:p>
        </w:tc>
        <w:tc>
          <w:tcPr>
            <w:tcW w:w="1701" w:type="dxa"/>
            <w:vAlign w:val="center"/>
          </w:tcPr>
          <w:p>
            <w:pPr>
              <w:jc w:val="center"/>
              <w:rPr>
                <w:snapToGrid w:val="0"/>
                <w:kern w:val="21"/>
                <w:szCs w:val="21"/>
              </w:rPr>
            </w:pPr>
            <w:r>
              <w:rPr>
                <w:snapToGrid w:val="0"/>
                <w:kern w:val="21"/>
                <w:szCs w:val="21"/>
              </w:rPr>
              <w:t>0</w:t>
            </w:r>
          </w:p>
        </w:tc>
        <w:tc>
          <w:tcPr>
            <w:tcW w:w="1559" w:type="dxa"/>
            <w:tcBorders>
              <w:left w:val="single" w:color="auto" w:sz="2" w:space="0"/>
            </w:tcBorders>
            <w:vAlign w:val="center"/>
          </w:tcPr>
          <w:p>
            <w:pPr>
              <w:jc w:val="center"/>
              <w:rPr>
                <w:snapToGrid w:val="0"/>
                <w:kern w:val="21"/>
                <w:szCs w:val="21"/>
              </w:rPr>
            </w:pPr>
            <w:r>
              <w:rPr>
                <w:rFonts w:hint="eastAsia"/>
                <w:snapToGrid w:val="0"/>
                <w:kern w:val="21"/>
                <w:szCs w:val="21"/>
                <w:lang w:val="en-US" w:eastAsia="zh-CN"/>
              </w:rPr>
              <w:t>0.077t/a</w:t>
            </w:r>
          </w:p>
        </w:tc>
        <w:tc>
          <w:tcPr>
            <w:tcW w:w="1761" w:type="dxa"/>
            <w:vAlign w:val="center"/>
          </w:tcPr>
          <w:p>
            <w:pPr>
              <w:pStyle w:val="29"/>
              <w:spacing w:beforeLines="0" w:afterLines="0" w:line="240" w:lineRule="auto"/>
              <w:rPr>
                <w:rFonts w:ascii="Times New Roman"/>
                <w:snapToGrid w:val="0"/>
                <w:kern w:val="21"/>
                <w:szCs w:val="21"/>
              </w:rPr>
            </w:pPr>
            <w:r>
              <w:rPr>
                <w:rFonts w:ascii="Times New Roman"/>
                <w:snapToGrid w:val="0"/>
                <w:kern w:val="21"/>
                <w:szCs w:val="21"/>
              </w:rPr>
              <w:t>0</w:t>
            </w:r>
          </w:p>
        </w:tc>
        <w:tc>
          <w:tcPr>
            <w:tcW w:w="1959" w:type="dxa"/>
            <w:tcBorders>
              <w:left w:val="single" w:color="auto" w:sz="2" w:space="0"/>
            </w:tcBorders>
            <w:vAlign w:val="center"/>
          </w:tcPr>
          <w:p>
            <w:pPr>
              <w:jc w:val="center"/>
              <w:rPr>
                <w:snapToGrid w:val="0"/>
                <w:kern w:val="21"/>
                <w:szCs w:val="21"/>
              </w:rPr>
            </w:pPr>
            <w:r>
              <w:rPr>
                <w:rFonts w:hint="eastAsia"/>
                <w:snapToGrid w:val="0"/>
                <w:kern w:val="21"/>
                <w:szCs w:val="21"/>
                <w:lang w:val="en-US" w:eastAsia="zh-CN"/>
              </w:rPr>
              <w:t>0.077t/a</w:t>
            </w:r>
          </w:p>
        </w:tc>
        <w:tc>
          <w:tcPr>
            <w:tcW w:w="826" w:type="dxa"/>
            <w:tcBorders>
              <w:left w:val="single" w:color="auto" w:sz="2" w:space="0"/>
            </w:tcBorders>
            <w:vAlign w:val="center"/>
          </w:tcPr>
          <w:p>
            <w:pPr>
              <w:jc w:val="center"/>
              <w:rPr>
                <w:szCs w:val="21"/>
              </w:rPr>
            </w:pPr>
            <w:r>
              <w:rPr>
                <w:rFonts w:hint="eastAsia"/>
                <w:snapToGrid w:val="0"/>
                <w:kern w:val="21"/>
                <w:szCs w:val="21"/>
                <w:lang w:val="en-US" w:eastAsia="zh-CN"/>
              </w:rPr>
              <w:t>+0.077t/a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8" w:type="dxa"/>
            <w:vMerge w:val="continue"/>
            <w:vAlign w:val="center"/>
          </w:tcPr>
          <w:p>
            <w:pPr>
              <w:pStyle w:val="29"/>
              <w:spacing w:beforeLines="0" w:afterLines="0" w:line="240" w:lineRule="auto"/>
              <w:rPr>
                <w:rFonts w:hAnsi="宋体" w:cs="宋体"/>
                <w:snapToGrid w:val="0"/>
                <w:kern w:val="21"/>
                <w:szCs w:val="21"/>
              </w:rPr>
            </w:pPr>
          </w:p>
        </w:tc>
        <w:tc>
          <w:tcPr>
            <w:tcW w:w="1417" w:type="dxa"/>
            <w:gridSpan w:val="2"/>
            <w:vAlign w:val="center"/>
          </w:tcPr>
          <w:p>
            <w:pPr>
              <w:pStyle w:val="29"/>
              <w:spacing w:beforeLines="0" w:afterLines="0" w:line="240" w:lineRule="auto"/>
              <w:rPr>
                <w:rFonts w:ascii="Times New Roman"/>
                <w:snapToGrid w:val="0"/>
                <w:kern w:val="21"/>
                <w:szCs w:val="21"/>
              </w:rPr>
            </w:pPr>
            <w:r>
              <w:rPr>
                <w:rFonts w:ascii="Times New Roman"/>
                <w:snapToGrid w:val="0"/>
                <w:kern w:val="21"/>
                <w:szCs w:val="21"/>
              </w:rPr>
              <w:t>SS</w:t>
            </w:r>
          </w:p>
        </w:tc>
        <w:tc>
          <w:tcPr>
            <w:tcW w:w="1701" w:type="dxa"/>
            <w:vAlign w:val="center"/>
          </w:tcPr>
          <w:p>
            <w:pPr>
              <w:jc w:val="center"/>
              <w:rPr>
                <w:snapToGrid w:val="0"/>
                <w:kern w:val="21"/>
                <w:szCs w:val="21"/>
              </w:rPr>
            </w:pPr>
            <w:r>
              <w:rPr>
                <w:snapToGrid w:val="0"/>
                <w:kern w:val="21"/>
                <w:szCs w:val="21"/>
              </w:rPr>
              <w:t>0</w:t>
            </w:r>
          </w:p>
        </w:tc>
        <w:tc>
          <w:tcPr>
            <w:tcW w:w="1276" w:type="dxa"/>
            <w:vAlign w:val="center"/>
          </w:tcPr>
          <w:p>
            <w:pPr>
              <w:jc w:val="center"/>
              <w:rPr>
                <w:snapToGrid w:val="0"/>
                <w:kern w:val="21"/>
                <w:szCs w:val="21"/>
              </w:rPr>
            </w:pPr>
            <w:r>
              <w:rPr>
                <w:snapToGrid w:val="0"/>
                <w:kern w:val="21"/>
                <w:szCs w:val="21"/>
              </w:rPr>
              <w:t>0</w:t>
            </w:r>
          </w:p>
        </w:tc>
        <w:tc>
          <w:tcPr>
            <w:tcW w:w="1701" w:type="dxa"/>
            <w:vAlign w:val="center"/>
          </w:tcPr>
          <w:p>
            <w:pPr>
              <w:jc w:val="center"/>
              <w:rPr>
                <w:snapToGrid w:val="0"/>
                <w:kern w:val="21"/>
                <w:szCs w:val="21"/>
              </w:rPr>
            </w:pPr>
            <w:r>
              <w:rPr>
                <w:snapToGrid w:val="0"/>
                <w:kern w:val="21"/>
                <w:szCs w:val="21"/>
              </w:rPr>
              <w:t>0</w:t>
            </w:r>
          </w:p>
        </w:tc>
        <w:tc>
          <w:tcPr>
            <w:tcW w:w="1559" w:type="dxa"/>
            <w:tcBorders>
              <w:left w:val="single" w:color="auto" w:sz="2" w:space="0"/>
            </w:tcBorders>
            <w:vAlign w:val="center"/>
          </w:tcPr>
          <w:p>
            <w:pPr>
              <w:jc w:val="center"/>
              <w:rPr>
                <w:snapToGrid w:val="0"/>
                <w:kern w:val="21"/>
                <w:szCs w:val="21"/>
              </w:rPr>
            </w:pPr>
            <w:r>
              <w:rPr>
                <w:rFonts w:hint="eastAsia"/>
                <w:snapToGrid w:val="0"/>
                <w:kern w:val="21"/>
                <w:szCs w:val="21"/>
                <w:lang w:val="en-US" w:eastAsia="zh-CN"/>
              </w:rPr>
              <w:t>0.058t/a</w:t>
            </w:r>
          </w:p>
        </w:tc>
        <w:tc>
          <w:tcPr>
            <w:tcW w:w="1761" w:type="dxa"/>
            <w:vAlign w:val="center"/>
          </w:tcPr>
          <w:p>
            <w:pPr>
              <w:pStyle w:val="29"/>
              <w:spacing w:beforeLines="0" w:afterLines="0" w:line="240" w:lineRule="auto"/>
              <w:rPr>
                <w:rFonts w:ascii="Times New Roman"/>
                <w:snapToGrid w:val="0"/>
                <w:kern w:val="21"/>
                <w:szCs w:val="21"/>
              </w:rPr>
            </w:pPr>
            <w:r>
              <w:rPr>
                <w:rFonts w:ascii="Times New Roman"/>
                <w:snapToGrid w:val="0"/>
                <w:kern w:val="21"/>
                <w:szCs w:val="21"/>
              </w:rPr>
              <w:t>0</w:t>
            </w:r>
          </w:p>
        </w:tc>
        <w:tc>
          <w:tcPr>
            <w:tcW w:w="1959" w:type="dxa"/>
            <w:tcBorders>
              <w:left w:val="single" w:color="auto" w:sz="2" w:space="0"/>
            </w:tcBorders>
            <w:vAlign w:val="center"/>
          </w:tcPr>
          <w:p>
            <w:pPr>
              <w:jc w:val="center"/>
              <w:rPr>
                <w:snapToGrid w:val="0"/>
                <w:kern w:val="21"/>
                <w:szCs w:val="21"/>
              </w:rPr>
            </w:pPr>
            <w:r>
              <w:rPr>
                <w:rFonts w:hint="eastAsia"/>
                <w:snapToGrid w:val="0"/>
                <w:kern w:val="21"/>
                <w:szCs w:val="21"/>
                <w:lang w:val="en-US" w:eastAsia="zh-CN"/>
              </w:rPr>
              <w:t>0.058t/a</w:t>
            </w:r>
          </w:p>
        </w:tc>
        <w:tc>
          <w:tcPr>
            <w:tcW w:w="826" w:type="dxa"/>
            <w:tcBorders>
              <w:left w:val="single" w:color="auto" w:sz="2" w:space="0"/>
            </w:tcBorders>
            <w:vAlign w:val="center"/>
          </w:tcPr>
          <w:p>
            <w:pPr>
              <w:jc w:val="center"/>
              <w:rPr>
                <w:szCs w:val="21"/>
              </w:rPr>
            </w:pPr>
            <w:r>
              <w:rPr>
                <w:rFonts w:hint="eastAsia"/>
                <w:snapToGrid w:val="0"/>
                <w:kern w:val="21"/>
                <w:szCs w:val="21"/>
                <w:lang w:val="en-US" w:eastAsia="zh-CN"/>
              </w:rPr>
              <w:t>+0.058t/a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8" w:type="dxa"/>
            <w:vMerge w:val="continue"/>
            <w:vAlign w:val="center"/>
          </w:tcPr>
          <w:p>
            <w:pPr>
              <w:pStyle w:val="29"/>
              <w:spacing w:beforeLines="0" w:afterLines="0" w:line="240" w:lineRule="auto"/>
            </w:pPr>
          </w:p>
        </w:tc>
        <w:tc>
          <w:tcPr>
            <w:tcW w:w="1417" w:type="dxa"/>
            <w:gridSpan w:val="2"/>
            <w:vAlign w:val="center"/>
          </w:tcPr>
          <w:p>
            <w:pPr>
              <w:jc w:val="center"/>
              <w:rPr>
                <w:szCs w:val="21"/>
              </w:rPr>
            </w:pPr>
            <w:r>
              <w:rPr>
                <w:kern w:val="0"/>
                <w:szCs w:val="21"/>
              </w:rPr>
              <w:t>NH</w:t>
            </w:r>
            <w:r>
              <w:rPr>
                <w:kern w:val="0"/>
                <w:szCs w:val="21"/>
                <w:vertAlign w:val="subscript"/>
              </w:rPr>
              <w:t>3</w:t>
            </w:r>
            <w:r>
              <w:rPr>
                <w:kern w:val="0"/>
                <w:szCs w:val="21"/>
              </w:rPr>
              <w:t>-N</w:t>
            </w:r>
          </w:p>
        </w:tc>
        <w:tc>
          <w:tcPr>
            <w:tcW w:w="1701" w:type="dxa"/>
            <w:vAlign w:val="center"/>
          </w:tcPr>
          <w:p>
            <w:pPr>
              <w:jc w:val="center"/>
              <w:rPr>
                <w:snapToGrid w:val="0"/>
                <w:kern w:val="21"/>
                <w:szCs w:val="21"/>
              </w:rPr>
            </w:pPr>
            <w:r>
              <w:rPr>
                <w:snapToGrid w:val="0"/>
                <w:kern w:val="21"/>
                <w:szCs w:val="21"/>
              </w:rPr>
              <w:t>0</w:t>
            </w:r>
          </w:p>
        </w:tc>
        <w:tc>
          <w:tcPr>
            <w:tcW w:w="1276" w:type="dxa"/>
            <w:vAlign w:val="center"/>
          </w:tcPr>
          <w:p>
            <w:pPr>
              <w:jc w:val="center"/>
              <w:rPr>
                <w:snapToGrid w:val="0"/>
                <w:kern w:val="21"/>
                <w:szCs w:val="21"/>
              </w:rPr>
            </w:pPr>
            <w:r>
              <w:rPr>
                <w:snapToGrid w:val="0"/>
                <w:kern w:val="21"/>
                <w:szCs w:val="21"/>
              </w:rPr>
              <w:t>0</w:t>
            </w:r>
          </w:p>
        </w:tc>
        <w:tc>
          <w:tcPr>
            <w:tcW w:w="1701" w:type="dxa"/>
            <w:vAlign w:val="center"/>
          </w:tcPr>
          <w:p>
            <w:pPr>
              <w:jc w:val="center"/>
              <w:rPr>
                <w:snapToGrid w:val="0"/>
                <w:kern w:val="21"/>
                <w:szCs w:val="21"/>
              </w:rPr>
            </w:pPr>
            <w:r>
              <w:rPr>
                <w:snapToGrid w:val="0"/>
                <w:kern w:val="21"/>
                <w:szCs w:val="21"/>
              </w:rPr>
              <w:t>0</w:t>
            </w:r>
          </w:p>
        </w:tc>
        <w:tc>
          <w:tcPr>
            <w:tcW w:w="1559" w:type="dxa"/>
            <w:tcBorders>
              <w:left w:val="single" w:color="auto" w:sz="2" w:space="0"/>
            </w:tcBorders>
            <w:vAlign w:val="center"/>
          </w:tcPr>
          <w:p>
            <w:pPr>
              <w:jc w:val="center"/>
              <w:rPr>
                <w:snapToGrid w:val="0"/>
                <w:kern w:val="21"/>
                <w:szCs w:val="21"/>
              </w:rPr>
            </w:pPr>
            <w:r>
              <w:rPr>
                <w:rFonts w:hint="eastAsia"/>
                <w:snapToGrid w:val="0"/>
                <w:kern w:val="21"/>
                <w:szCs w:val="21"/>
                <w:lang w:val="en-US" w:eastAsia="zh-CN"/>
              </w:rPr>
              <w:t>0.0067t/a</w:t>
            </w:r>
          </w:p>
        </w:tc>
        <w:tc>
          <w:tcPr>
            <w:tcW w:w="1761" w:type="dxa"/>
            <w:vAlign w:val="center"/>
          </w:tcPr>
          <w:p>
            <w:pPr>
              <w:pStyle w:val="29"/>
              <w:spacing w:beforeLines="0" w:afterLines="0" w:line="240" w:lineRule="auto"/>
              <w:rPr>
                <w:rFonts w:ascii="Times New Roman"/>
                <w:snapToGrid w:val="0"/>
                <w:kern w:val="21"/>
                <w:szCs w:val="21"/>
              </w:rPr>
            </w:pPr>
            <w:r>
              <w:rPr>
                <w:rFonts w:ascii="Times New Roman"/>
                <w:snapToGrid w:val="0"/>
                <w:kern w:val="21"/>
                <w:szCs w:val="21"/>
              </w:rPr>
              <w:t>0</w:t>
            </w:r>
          </w:p>
        </w:tc>
        <w:tc>
          <w:tcPr>
            <w:tcW w:w="1959" w:type="dxa"/>
            <w:tcBorders>
              <w:left w:val="single" w:color="auto" w:sz="2" w:space="0"/>
            </w:tcBorders>
            <w:vAlign w:val="center"/>
          </w:tcPr>
          <w:p>
            <w:pPr>
              <w:jc w:val="center"/>
              <w:rPr>
                <w:snapToGrid w:val="0"/>
                <w:kern w:val="21"/>
                <w:szCs w:val="21"/>
              </w:rPr>
            </w:pPr>
            <w:r>
              <w:rPr>
                <w:rFonts w:hint="eastAsia"/>
                <w:snapToGrid w:val="0"/>
                <w:kern w:val="21"/>
                <w:szCs w:val="21"/>
                <w:lang w:val="en-US" w:eastAsia="zh-CN"/>
              </w:rPr>
              <w:t>0.0067t/a</w:t>
            </w:r>
          </w:p>
        </w:tc>
        <w:tc>
          <w:tcPr>
            <w:tcW w:w="826" w:type="dxa"/>
            <w:tcBorders>
              <w:left w:val="single" w:color="auto" w:sz="2" w:space="0"/>
            </w:tcBorders>
            <w:vAlign w:val="center"/>
          </w:tcPr>
          <w:p>
            <w:pPr>
              <w:jc w:val="center"/>
              <w:rPr>
                <w:szCs w:val="21"/>
              </w:rPr>
            </w:pPr>
            <w:r>
              <w:rPr>
                <w:rFonts w:hint="eastAsia"/>
                <w:snapToGrid w:val="0"/>
                <w:kern w:val="21"/>
                <w:szCs w:val="21"/>
                <w:lang w:val="en-US" w:eastAsia="zh-CN"/>
              </w:rPr>
              <w:t>+0.0067t/a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8" w:type="dxa"/>
            <w:vMerge w:val="continue"/>
            <w:vAlign w:val="center"/>
          </w:tcPr>
          <w:p>
            <w:pPr>
              <w:pStyle w:val="29"/>
              <w:spacing w:beforeLines="0" w:afterLines="0" w:line="240" w:lineRule="auto"/>
              <w:rPr>
                <w:rFonts w:hAnsi="宋体" w:cs="宋体"/>
                <w:snapToGrid w:val="0"/>
                <w:kern w:val="21"/>
                <w:szCs w:val="21"/>
              </w:rPr>
            </w:pPr>
          </w:p>
        </w:tc>
        <w:tc>
          <w:tcPr>
            <w:tcW w:w="1417" w:type="dxa"/>
            <w:gridSpan w:val="2"/>
            <w:vAlign w:val="center"/>
          </w:tcPr>
          <w:p>
            <w:pPr>
              <w:jc w:val="center"/>
              <w:rPr>
                <w:szCs w:val="21"/>
              </w:rPr>
            </w:pPr>
            <w:r>
              <w:rPr>
                <w:szCs w:val="21"/>
              </w:rPr>
              <w:t>TP</w:t>
            </w:r>
          </w:p>
        </w:tc>
        <w:tc>
          <w:tcPr>
            <w:tcW w:w="1701" w:type="dxa"/>
            <w:vAlign w:val="center"/>
          </w:tcPr>
          <w:p>
            <w:pPr>
              <w:jc w:val="center"/>
              <w:rPr>
                <w:snapToGrid w:val="0"/>
                <w:kern w:val="21"/>
                <w:szCs w:val="21"/>
              </w:rPr>
            </w:pPr>
            <w:r>
              <w:rPr>
                <w:snapToGrid w:val="0"/>
                <w:kern w:val="21"/>
                <w:szCs w:val="21"/>
              </w:rPr>
              <w:t>0</w:t>
            </w:r>
          </w:p>
        </w:tc>
        <w:tc>
          <w:tcPr>
            <w:tcW w:w="1276" w:type="dxa"/>
            <w:vAlign w:val="center"/>
          </w:tcPr>
          <w:p>
            <w:pPr>
              <w:jc w:val="center"/>
              <w:rPr>
                <w:snapToGrid w:val="0"/>
                <w:kern w:val="21"/>
                <w:szCs w:val="21"/>
              </w:rPr>
            </w:pPr>
            <w:r>
              <w:rPr>
                <w:snapToGrid w:val="0"/>
                <w:kern w:val="21"/>
                <w:szCs w:val="21"/>
              </w:rPr>
              <w:t>0</w:t>
            </w:r>
          </w:p>
        </w:tc>
        <w:tc>
          <w:tcPr>
            <w:tcW w:w="1701" w:type="dxa"/>
            <w:vAlign w:val="center"/>
          </w:tcPr>
          <w:p>
            <w:pPr>
              <w:jc w:val="center"/>
              <w:rPr>
                <w:snapToGrid w:val="0"/>
                <w:kern w:val="21"/>
                <w:szCs w:val="21"/>
              </w:rPr>
            </w:pPr>
            <w:r>
              <w:rPr>
                <w:snapToGrid w:val="0"/>
                <w:kern w:val="21"/>
                <w:szCs w:val="21"/>
              </w:rPr>
              <w:t>0</w:t>
            </w:r>
          </w:p>
        </w:tc>
        <w:tc>
          <w:tcPr>
            <w:tcW w:w="1559" w:type="dxa"/>
            <w:tcBorders>
              <w:left w:val="single" w:color="auto" w:sz="2" w:space="0"/>
            </w:tcBorders>
            <w:vAlign w:val="center"/>
          </w:tcPr>
          <w:p>
            <w:pPr>
              <w:jc w:val="center"/>
              <w:rPr>
                <w:snapToGrid w:val="0"/>
                <w:kern w:val="21"/>
                <w:szCs w:val="21"/>
              </w:rPr>
            </w:pPr>
            <w:r>
              <w:rPr>
                <w:rFonts w:hint="eastAsia"/>
                <w:snapToGrid w:val="0"/>
                <w:kern w:val="21"/>
                <w:szCs w:val="21"/>
                <w:lang w:val="en-US" w:eastAsia="zh-CN"/>
              </w:rPr>
              <w:t>0.0096t/a</w:t>
            </w:r>
          </w:p>
        </w:tc>
        <w:tc>
          <w:tcPr>
            <w:tcW w:w="1761" w:type="dxa"/>
            <w:vAlign w:val="center"/>
          </w:tcPr>
          <w:p>
            <w:pPr>
              <w:pStyle w:val="29"/>
              <w:spacing w:beforeLines="0" w:afterLines="0" w:line="240" w:lineRule="auto"/>
              <w:rPr>
                <w:rFonts w:ascii="Times New Roman"/>
                <w:snapToGrid w:val="0"/>
                <w:kern w:val="21"/>
                <w:szCs w:val="21"/>
              </w:rPr>
            </w:pPr>
            <w:r>
              <w:rPr>
                <w:rFonts w:ascii="Times New Roman"/>
                <w:snapToGrid w:val="0"/>
                <w:kern w:val="21"/>
                <w:szCs w:val="21"/>
              </w:rPr>
              <w:t>0</w:t>
            </w:r>
          </w:p>
        </w:tc>
        <w:tc>
          <w:tcPr>
            <w:tcW w:w="1959" w:type="dxa"/>
            <w:tcBorders>
              <w:left w:val="single" w:color="auto" w:sz="2" w:space="0"/>
            </w:tcBorders>
            <w:vAlign w:val="center"/>
          </w:tcPr>
          <w:p>
            <w:pPr>
              <w:jc w:val="center"/>
              <w:rPr>
                <w:snapToGrid w:val="0"/>
                <w:kern w:val="21"/>
                <w:szCs w:val="21"/>
              </w:rPr>
            </w:pPr>
            <w:r>
              <w:rPr>
                <w:rFonts w:hint="eastAsia"/>
                <w:snapToGrid w:val="0"/>
                <w:kern w:val="21"/>
                <w:szCs w:val="21"/>
                <w:lang w:val="en-US" w:eastAsia="zh-CN"/>
              </w:rPr>
              <w:t>0.0096t/a</w:t>
            </w:r>
          </w:p>
        </w:tc>
        <w:tc>
          <w:tcPr>
            <w:tcW w:w="826" w:type="dxa"/>
            <w:tcBorders>
              <w:left w:val="single" w:color="auto" w:sz="2" w:space="0"/>
            </w:tcBorders>
            <w:tcMar>
              <w:top w:w="0" w:type="dxa"/>
              <w:left w:w="0" w:type="dxa"/>
              <w:bottom w:w="0" w:type="dxa"/>
              <w:right w:w="0" w:type="dxa"/>
            </w:tcMar>
            <w:vAlign w:val="center"/>
          </w:tcPr>
          <w:p>
            <w:pPr>
              <w:jc w:val="center"/>
              <w:rPr>
                <w:szCs w:val="21"/>
              </w:rPr>
            </w:pPr>
            <w:r>
              <w:rPr>
                <w:rFonts w:hint="eastAsia"/>
                <w:snapToGrid w:val="0"/>
                <w:kern w:val="21"/>
                <w:szCs w:val="21"/>
                <w:lang w:val="en-US" w:eastAsia="zh-CN"/>
              </w:rPr>
              <w:t>+0.0096t/a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8" w:type="dxa"/>
            <w:vMerge w:val="continue"/>
            <w:vAlign w:val="center"/>
          </w:tcPr>
          <w:p>
            <w:pPr>
              <w:pStyle w:val="29"/>
              <w:spacing w:beforeLines="0" w:afterLines="0" w:line="240" w:lineRule="auto"/>
              <w:rPr>
                <w:rFonts w:hAnsi="宋体" w:cs="宋体"/>
                <w:snapToGrid w:val="0"/>
                <w:kern w:val="21"/>
                <w:szCs w:val="21"/>
              </w:rPr>
            </w:pPr>
          </w:p>
        </w:tc>
        <w:tc>
          <w:tcPr>
            <w:tcW w:w="1417" w:type="dxa"/>
            <w:gridSpan w:val="2"/>
            <w:vAlign w:val="center"/>
          </w:tcPr>
          <w:p>
            <w:pPr>
              <w:jc w:val="center"/>
              <w:rPr>
                <w:szCs w:val="21"/>
              </w:rPr>
            </w:pPr>
            <w:r>
              <w:rPr>
                <w:szCs w:val="21"/>
              </w:rPr>
              <w:t>TN</w:t>
            </w:r>
          </w:p>
        </w:tc>
        <w:tc>
          <w:tcPr>
            <w:tcW w:w="1701" w:type="dxa"/>
            <w:vAlign w:val="center"/>
          </w:tcPr>
          <w:p>
            <w:pPr>
              <w:jc w:val="center"/>
              <w:rPr>
                <w:snapToGrid w:val="0"/>
                <w:kern w:val="21"/>
                <w:szCs w:val="21"/>
              </w:rPr>
            </w:pPr>
            <w:r>
              <w:rPr>
                <w:snapToGrid w:val="0"/>
                <w:kern w:val="21"/>
                <w:szCs w:val="21"/>
              </w:rPr>
              <w:t>0</w:t>
            </w:r>
          </w:p>
        </w:tc>
        <w:tc>
          <w:tcPr>
            <w:tcW w:w="1276" w:type="dxa"/>
            <w:vAlign w:val="center"/>
          </w:tcPr>
          <w:p>
            <w:pPr>
              <w:jc w:val="center"/>
              <w:rPr>
                <w:snapToGrid w:val="0"/>
                <w:kern w:val="21"/>
                <w:szCs w:val="21"/>
              </w:rPr>
            </w:pPr>
            <w:r>
              <w:rPr>
                <w:snapToGrid w:val="0"/>
                <w:kern w:val="21"/>
                <w:szCs w:val="21"/>
              </w:rPr>
              <w:t>0</w:t>
            </w:r>
          </w:p>
        </w:tc>
        <w:tc>
          <w:tcPr>
            <w:tcW w:w="1701" w:type="dxa"/>
            <w:vAlign w:val="center"/>
          </w:tcPr>
          <w:p>
            <w:pPr>
              <w:jc w:val="center"/>
              <w:rPr>
                <w:snapToGrid w:val="0"/>
                <w:kern w:val="21"/>
                <w:szCs w:val="21"/>
              </w:rPr>
            </w:pPr>
            <w:r>
              <w:rPr>
                <w:snapToGrid w:val="0"/>
                <w:kern w:val="21"/>
                <w:szCs w:val="21"/>
              </w:rPr>
              <w:t>0</w:t>
            </w:r>
          </w:p>
        </w:tc>
        <w:tc>
          <w:tcPr>
            <w:tcW w:w="1559" w:type="dxa"/>
            <w:tcBorders>
              <w:left w:val="single" w:color="auto" w:sz="2" w:space="0"/>
            </w:tcBorders>
            <w:vAlign w:val="center"/>
          </w:tcPr>
          <w:p>
            <w:pPr>
              <w:jc w:val="center"/>
              <w:rPr>
                <w:snapToGrid w:val="0"/>
                <w:kern w:val="21"/>
                <w:szCs w:val="21"/>
              </w:rPr>
            </w:pPr>
            <w:r>
              <w:rPr>
                <w:rFonts w:hint="eastAsia"/>
                <w:snapToGrid w:val="0"/>
                <w:kern w:val="21"/>
                <w:szCs w:val="21"/>
                <w:lang w:val="en-US" w:eastAsia="zh-CN"/>
              </w:rPr>
              <w:t>0.0115t/a</w:t>
            </w:r>
          </w:p>
        </w:tc>
        <w:tc>
          <w:tcPr>
            <w:tcW w:w="1761" w:type="dxa"/>
            <w:vAlign w:val="center"/>
          </w:tcPr>
          <w:p>
            <w:pPr>
              <w:pStyle w:val="29"/>
              <w:spacing w:beforeLines="0" w:afterLines="0" w:line="240" w:lineRule="auto"/>
              <w:rPr>
                <w:rFonts w:ascii="Times New Roman"/>
                <w:snapToGrid w:val="0"/>
                <w:kern w:val="21"/>
                <w:szCs w:val="21"/>
              </w:rPr>
            </w:pPr>
            <w:r>
              <w:rPr>
                <w:rFonts w:ascii="Times New Roman"/>
                <w:snapToGrid w:val="0"/>
                <w:kern w:val="21"/>
                <w:szCs w:val="21"/>
              </w:rPr>
              <w:t>0</w:t>
            </w:r>
          </w:p>
        </w:tc>
        <w:tc>
          <w:tcPr>
            <w:tcW w:w="1959" w:type="dxa"/>
            <w:tcBorders>
              <w:left w:val="single" w:color="auto" w:sz="2" w:space="0"/>
            </w:tcBorders>
            <w:vAlign w:val="center"/>
          </w:tcPr>
          <w:p>
            <w:pPr>
              <w:jc w:val="center"/>
              <w:rPr>
                <w:snapToGrid w:val="0"/>
                <w:kern w:val="21"/>
                <w:szCs w:val="21"/>
              </w:rPr>
            </w:pPr>
            <w:r>
              <w:rPr>
                <w:rFonts w:hint="eastAsia"/>
                <w:snapToGrid w:val="0"/>
                <w:kern w:val="21"/>
                <w:szCs w:val="21"/>
                <w:lang w:val="en-US" w:eastAsia="zh-CN"/>
              </w:rPr>
              <w:t>0.0115t/a</w:t>
            </w:r>
          </w:p>
        </w:tc>
        <w:tc>
          <w:tcPr>
            <w:tcW w:w="826" w:type="dxa"/>
            <w:tcBorders>
              <w:left w:val="single" w:color="auto" w:sz="2" w:space="0"/>
            </w:tcBorders>
            <w:vAlign w:val="center"/>
          </w:tcPr>
          <w:p>
            <w:pPr>
              <w:jc w:val="center"/>
              <w:rPr>
                <w:szCs w:val="21"/>
              </w:rPr>
            </w:pPr>
            <w:r>
              <w:rPr>
                <w:rFonts w:hint="eastAsia"/>
                <w:snapToGrid w:val="0"/>
                <w:kern w:val="21"/>
                <w:szCs w:val="21"/>
                <w:lang w:val="en-US" w:eastAsia="zh-CN"/>
              </w:rPr>
              <w:t>+0.0115t/a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8" w:type="dxa"/>
            <w:vMerge w:val="restart"/>
            <w:vAlign w:val="center"/>
          </w:tcPr>
          <w:p>
            <w:pPr>
              <w:pStyle w:val="29"/>
              <w:spacing w:beforeLines="0" w:afterLines="0" w:line="240" w:lineRule="auto"/>
              <w:rPr>
                <w:rFonts w:hAnsi="宋体" w:cs="宋体"/>
                <w:snapToGrid w:val="0"/>
                <w:kern w:val="21"/>
                <w:szCs w:val="21"/>
              </w:rPr>
            </w:pPr>
            <w:r>
              <w:rPr>
                <w:rFonts w:hint="eastAsia" w:hAnsi="宋体" w:cs="宋体"/>
                <w:snapToGrid w:val="0"/>
                <w:kern w:val="21"/>
                <w:szCs w:val="21"/>
              </w:rPr>
              <w:t>一般工业</w:t>
            </w:r>
          </w:p>
          <w:p>
            <w:pPr>
              <w:pStyle w:val="29"/>
              <w:spacing w:beforeLines="0" w:afterLines="0" w:line="240" w:lineRule="auto"/>
              <w:rPr>
                <w:rFonts w:hAnsi="宋体" w:cs="宋体"/>
                <w:snapToGrid w:val="0"/>
                <w:kern w:val="21"/>
                <w:szCs w:val="21"/>
              </w:rPr>
            </w:pPr>
            <w:r>
              <w:rPr>
                <w:rFonts w:hint="eastAsia" w:hAnsi="宋体" w:cs="宋体"/>
                <w:snapToGrid w:val="0"/>
                <w:kern w:val="21"/>
                <w:szCs w:val="21"/>
              </w:rPr>
              <w:t>固体废物</w:t>
            </w:r>
          </w:p>
        </w:tc>
        <w:tc>
          <w:tcPr>
            <w:tcW w:w="1417" w:type="dxa"/>
            <w:gridSpan w:val="2"/>
            <w:vAlign w:val="center"/>
          </w:tcPr>
          <w:p>
            <w:pPr>
              <w:pStyle w:val="29"/>
              <w:spacing w:beforeLines="0" w:afterLines="0" w:line="240" w:lineRule="auto"/>
              <w:rPr>
                <w:rFonts w:hAnsi="宋体" w:cs="宋体"/>
                <w:snapToGrid w:val="0"/>
                <w:kern w:val="21"/>
                <w:szCs w:val="21"/>
              </w:rPr>
            </w:pPr>
            <w:r>
              <w:rPr>
                <w:rFonts w:hint="eastAsia" w:hAnsi="宋体" w:cs="宋体"/>
                <w:snapToGrid w:val="0"/>
                <w:kern w:val="21"/>
                <w:szCs w:val="21"/>
              </w:rPr>
              <w:t>生活垃圾</w:t>
            </w:r>
          </w:p>
        </w:tc>
        <w:tc>
          <w:tcPr>
            <w:tcW w:w="1701" w:type="dxa"/>
            <w:vAlign w:val="center"/>
          </w:tcPr>
          <w:p>
            <w:pPr>
              <w:jc w:val="center"/>
              <w:rPr>
                <w:snapToGrid w:val="0"/>
                <w:kern w:val="21"/>
                <w:szCs w:val="21"/>
              </w:rPr>
            </w:pPr>
            <w:r>
              <w:rPr>
                <w:snapToGrid w:val="0"/>
                <w:kern w:val="21"/>
                <w:szCs w:val="21"/>
              </w:rPr>
              <w:t>0</w:t>
            </w:r>
          </w:p>
        </w:tc>
        <w:tc>
          <w:tcPr>
            <w:tcW w:w="1276" w:type="dxa"/>
            <w:vAlign w:val="center"/>
          </w:tcPr>
          <w:p>
            <w:pPr>
              <w:jc w:val="center"/>
              <w:rPr>
                <w:snapToGrid w:val="0"/>
                <w:kern w:val="21"/>
                <w:szCs w:val="21"/>
              </w:rPr>
            </w:pPr>
            <w:r>
              <w:rPr>
                <w:snapToGrid w:val="0"/>
                <w:kern w:val="21"/>
                <w:szCs w:val="21"/>
              </w:rPr>
              <w:t>0</w:t>
            </w:r>
          </w:p>
        </w:tc>
        <w:tc>
          <w:tcPr>
            <w:tcW w:w="1701" w:type="dxa"/>
            <w:vAlign w:val="center"/>
          </w:tcPr>
          <w:p>
            <w:pPr>
              <w:jc w:val="center"/>
              <w:rPr>
                <w:snapToGrid w:val="0"/>
                <w:kern w:val="21"/>
                <w:szCs w:val="21"/>
              </w:rPr>
            </w:pPr>
            <w:r>
              <w:rPr>
                <w:snapToGrid w:val="0"/>
                <w:kern w:val="21"/>
                <w:szCs w:val="21"/>
              </w:rPr>
              <w:t>0</w:t>
            </w:r>
          </w:p>
        </w:tc>
        <w:tc>
          <w:tcPr>
            <w:tcW w:w="1559" w:type="dxa"/>
            <w:vAlign w:val="center"/>
          </w:tcPr>
          <w:p>
            <w:pPr>
              <w:jc w:val="center"/>
              <w:rPr>
                <w:rFonts w:hint="default" w:eastAsia="宋体"/>
                <w:snapToGrid w:val="0"/>
                <w:kern w:val="21"/>
                <w:szCs w:val="21"/>
                <w:lang w:val="en-US" w:eastAsia="zh-CN"/>
              </w:rPr>
            </w:pPr>
            <w:r>
              <w:rPr>
                <w:rFonts w:hint="eastAsia"/>
                <w:snapToGrid w:val="0"/>
                <w:kern w:val="21"/>
                <w:szCs w:val="21"/>
                <w:lang w:val="en-US" w:eastAsia="zh-CN"/>
              </w:rPr>
              <w:t>2.4t/a</w:t>
            </w:r>
          </w:p>
        </w:tc>
        <w:tc>
          <w:tcPr>
            <w:tcW w:w="1761" w:type="dxa"/>
            <w:vAlign w:val="center"/>
          </w:tcPr>
          <w:p>
            <w:pPr>
              <w:jc w:val="center"/>
              <w:rPr>
                <w:snapToGrid w:val="0"/>
                <w:kern w:val="21"/>
                <w:szCs w:val="21"/>
              </w:rPr>
            </w:pPr>
            <w:r>
              <w:rPr>
                <w:snapToGrid w:val="0"/>
                <w:kern w:val="21"/>
                <w:szCs w:val="21"/>
              </w:rPr>
              <w:t>0</w:t>
            </w:r>
          </w:p>
        </w:tc>
        <w:tc>
          <w:tcPr>
            <w:tcW w:w="1959" w:type="dxa"/>
            <w:vAlign w:val="center"/>
          </w:tcPr>
          <w:p>
            <w:pPr>
              <w:jc w:val="center"/>
              <w:rPr>
                <w:snapToGrid w:val="0"/>
                <w:kern w:val="21"/>
                <w:szCs w:val="21"/>
              </w:rPr>
            </w:pPr>
            <w:r>
              <w:rPr>
                <w:rFonts w:hint="eastAsia"/>
                <w:snapToGrid w:val="0"/>
                <w:kern w:val="21"/>
                <w:szCs w:val="21"/>
                <w:lang w:val="en-US" w:eastAsia="zh-CN"/>
              </w:rPr>
              <w:t>2.4t/a</w:t>
            </w:r>
          </w:p>
        </w:tc>
        <w:tc>
          <w:tcPr>
            <w:tcW w:w="826" w:type="dxa"/>
            <w:vAlign w:val="center"/>
          </w:tcPr>
          <w:p>
            <w:pPr>
              <w:jc w:val="center"/>
              <w:rPr>
                <w:rFonts w:hint="default" w:eastAsia="宋体"/>
                <w:snapToGrid w:val="0"/>
                <w:kern w:val="21"/>
                <w:szCs w:val="21"/>
                <w:lang w:val="en-US" w:eastAsia="zh-CN"/>
              </w:rPr>
            </w:pPr>
            <w:r>
              <w:rPr>
                <w:rFonts w:hint="eastAsia"/>
                <w:snapToGrid w:val="0"/>
                <w:kern w:val="21"/>
                <w:szCs w:val="21"/>
              </w:rPr>
              <w:t>+</w:t>
            </w:r>
            <w:r>
              <w:rPr>
                <w:rFonts w:hint="eastAsia"/>
                <w:snapToGrid w:val="0"/>
                <w:kern w:val="21"/>
                <w:szCs w:val="21"/>
                <w:lang w:val="en-US" w:eastAsia="zh-CN"/>
              </w:rPr>
              <w:t>2.4t/a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8" w:type="dxa"/>
            <w:vMerge w:val="continue"/>
            <w:vAlign w:val="center"/>
          </w:tcPr>
          <w:p>
            <w:pPr>
              <w:pStyle w:val="29"/>
              <w:spacing w:beforeLines="0" w:afterLines="0" w:line="240" w:lineRule="auto"/>
              <w:rPr>
                <w:rFonts w:hAnsi="宋体" w:cs="宋体"/>
                <w:snapToGrid w:val="0"/>
                <w:kern w:val="21"/>
                <w:szCs w:val="21"/>
              </w:rPr>
            </w:pPr>
          </w:p>
        </w:tc>
        <w:tc>
          <w:tcPr>
            <w:tcW w:w="1417" w:type="dxa"/>
            <w:gridSpan w:val="2"/>
            <w:vAlign w:val="center"/>
          </w:tcPr>
          <w:p>
            <w:pPr>
              <w:jc w:val="center"/>
              <w:rPr>
                <w:rFonts w:hAnsi="宋体" w:cs="宋体"/>
                <w:snapToGrid w:val="0"/>
                <w:kern w:val="21"/>
                <w:szCs w:val="21"/>
              </w:rPr>
            </w:pPr>
            <w:r>
              <w:rPr>
                <w:rFonts w:hint="eastAsia"/>
                <w:szCs w:val="21"/>
              </w:rPr>
              <w:t>废</w:t>
            </w:r>
            <w:r>
              <w:rPr>
                <w:rFonts w:hint="eastAsia"/>
                <w:szCs w:val="21"/>
                <w:lang w:val="en-US" w:eastAsia="zh-CN"/>
              </w:rPr>
              <w:t>包装材料</w:t>
            </w:r>
          </w:p>
        </w:tc>
        <w:tc>
          <w:tcPr>
            <w:tcW w:w="1701" w:type="dxa"/>
            <w:vAlign w:val="center"/>
          </w:tcPr>
          <w:p>
            <w:pPr>
              <w:jc w:val="center"/>
              <w:rPr>
                <w:snapToGrid w:val="0"/>
                <w:kern w:val="21"/>
                <w:szCs w:val="21"/>
              </w:rPr>
            </w:pPr>
            <w:r>
              <w:rPr>
                <w:rFonts w:hint="eastAsia"/>
                <w:snapToGrid w:val="0"/>
                <w:kern w:val="21"/>
                <w:szCs w:val="21"/>
              </w:rPr>
              <w:t>0</w:t>
            </w:r>
          </w:p>
        </w:tc>
        <w:tc>
          <w:tcPr>
            <w:tcW w:w="1276" w:type="dxa"/>
            <w:vAlign w:val="center"/>
          </w:tcPr>
          <w:p>
            <w:pPr>
              <w:jc w:val="center"/>
              <w:rPr>
                <w:snapToGrid w:val="0"/>
                <w:kern w:val="21"/>
                <w:szCs w:val="21"/>
              </w:rPr>
            </w:pPr>
            <w:r>
              <w:rPr>
                <w:rFonts w:hint="eastAsia"/>
                <w:snapToGrid w:val="0"/>
                <w:kern w:val="21"/>
                <w:szCs w:val="21"/>
              </w:rPr>
              <w:t>0</w:t>
            </w:r>
          </w:p>
        </w:tc>
        <w:tc>
          <w:tcPr>
            <w:tcW w:w="1701" w:type="dxa"/>
            <w:vAlign w:val="center"/>
          </w:tcPr>
          <w:p>
            <w:pPr>
              <w:jc w:val="center"/>
              <w:rPr>
                <w:snapToGrid w:val="0"/>
                <w:kern w:val="21"/>
                <w:szCs w:val="21"/>
              </w:rPr>
            </w:pPr>
            <w:r>
              <w:rPr>
                <w:rFonts w:hint="eastAsia"/>
                <w:snapToGrid w:val="0"/>
                <w:kern w:val="21"/>
                <w:szCs w:val="21"/>
              </w:rPr>
              <w:t>0</w:t>
            </w:r>
          </w:p>
        </w:tc>
        <w:tc>
          <w:tcPr>
            <w:tcW w:w="1559" w:type="dxa"/>
            <w:vAlign w:val="center"/>
          </w:tcPr>
          <w:p>
            <w:pPr>
              <w:jc w:val="center"/>
              <w:rPr>
                <w:rFonts w:hint="default" w:eastAsia="宋体"/>
                <w:snapToGrid w:val="0"/>
                <w:kern w:val="21"/>
                <w:szCs w:val="21"/>
                <w:lang w:val="en-US" w:eastAsia="zh-CN"/>
              </w:rPr>
            </w:pPr>
            <w:r>
              <w:rPr>
                <w:rFonts w:hint="eastAsia"/>
                <w:snapToGrid w:val="0"/>
                <w:kern w:val="21"/>
                <w:szCs w:val="21"/>
                <w:lang w:val="en-US" w:eastAsia="zh-CN"/>
              </w:rPr>
              <w:t>0.5t/a</w:t>
            </w:r>
          </w:p>
        </w:tc>
        <w:tc>
          <w:tcPr>
            <w:tcW w:w="1761" w:type="dxa"/>
            <w:vAlign w:val="center"/>
          </w:tcPr>
          <w:p>
            <w:pPr>
              <w:jc w:val="center"/>
              <w:rPr>
                <w:snapToGrid w:val="0"/>
                <w:kern w:val="21"/>
                <w:szCs w:val="21"/>
              </w:rPr>
            </w:pPr>
            <w:r>
              <w:rPr>
                <w:rFonts w:hint="eastAsia"/>
                <w:snapToGrid w:val="0"/>
                <w:kern w:val="21"/>
                <w:szCs w:val="21"/>
              </w:rPr>
              <w:t>0</w:t>
            </w:r>
          </w:p>
        </w:tc>
        <w:tc>
          <w:tcPr>
            <w:tcW w:w="1959" w:type="dxa"/>
            <w:vAlign w:val="center"/>
          </w:tcPr>
          <w:p>
            <w:pPr>
              <w:jc w:val="center"/>
              <w:rPr>
                <w:rFonts w:hint="default" w:eastAsia="宋体"/>
                <w:snapToGrid w:val="0"/>
                <w:kern w:val="21"/>
                <w:szCs w:val="21"/>
                <w:lang w:val="en-US" w:eastAsia="zh-CN"/>
              </w:rPr>
            </w:pPr>
            <w:r>
              <w:rPr>
                <w:rFonts w:hint="eastAsia"/>
                <w:snapToGrid w:val="0"/>
                <w:kern w:val="21"/>
                <w:szCs w:val="21"/>
                <w:lang w:val="en-US" w:eastAsia="zh-CN"/>
              </w:rPr>
              <w:t>0.5t/a</w:t>
            </w:r>
          </w:p>
        </w:tc>
        <w:tc>
          <w:tcPr>
            <w:tcW w:w="826" w:type="dxa"/>
            <w:vAlign w:val="center"/>
          </w:tcPr>
          <w:p>
            <w:pPr>
              <w:jc w:val="center"/>
              <w:rPr>
                <w:rFonts w:hint="eastAsia" w:eastAsia="宋体"/>
                <w:snapToGrid w:val="0"/>
                <w:kern w:val="21"/>
                <w:szCs w:val="21"/>
                <w:lang w:eastAsia="zh-CN"/>
              </w:rPr>
            </w:pPr>
            <w:r>
              <w:rPr>
                <w:rFonts w:hint="eastAsia"/>
                <w:snapToGrid w:val="0"/>
                <w:kern w:val="21"/>
                <w:szCs w:val="21"/>
              </w:rPr>
              <w:t>+0.</w:t>
            </w:r>
            <w:r>
              <w:rPr>
                <w:rFonts w:hint="eastAsia"/>
                <w:snapToGrid w:val="0"/>
                <w:kern w:val="21"/>
                <w:szCs w:val="21"/>
                <w:lang w:val="en-US" w:eastAsia="zh-CN"/>
              </w:rPr>
              <w:t>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8" w:type="dxa"/>
            <w:vMerge w:val="continue"/>
            <w:vAlign w:val="center"/>
          </w:tcPr>
          <w:p>
            <w:pPr>
              <w:pStyle w:val="29"/>
              <w:spacing w:beforeLines="0" w:afterLines="0" w:line="240" w:lineRule="auto"/>
              <w:rPr>
                <w:rFonts w:hAnsi="宋体" w:cs="宋体"/>
                <w:snapToGrid w:val="0"/>
                <w:kern w:val="21"/>
                <w:szCs w:val="21"/>
              </w:rPr>
            </w:pPr>
          </w:p>
        </w:tc>
        <w:tc>
          <w:tcPr>
            <w:tcW w:w="1417" w:type="dxa"/>
            <w:gridSpan w:val="2"/>
            <w:vAlign w:val="center"/>
          </w:tcPr>
          <w:p>
            <w:pPr>
              <w:jc w:val="center"/>
              <w:rPr>
                <w:rFonts w:hint="default" w:hAnsi="宋体" w:eastAsia="宋体" w:cs="宋体"/>
                <w:snapToGrid w:val="0"/>
                <w:kern w:val="21"/>
                <w:szCs w:val="21"/>
                <w:lang w:val="en-US" w:eastAsia="zh-CN"/>
              </w:rPr>
            </w:pPr>
            <w:r>
              <w:rPr>
                <w:rFonts w:hint="eastAsia" w:ascii="Times New Roman" w:hAnsi="Times New Roman" w:cs="Times New Roman"/>
                <w:color w:val="000000" w:themeColor="text1"/>
                <w:szCs w:val="21"/>
                <w14:textFill>
                  <w14:solidFill>
                    <w14:schemeClr w14:val="tx1"/>
                  </w14:solidFill>
                </w14:textFill>
              </w:rPr>
              <w:t>不合格品及边角料</w:t>
            </w:r>
          </w:p>
        </w:tc>
        <w:tc>
          <w:tcPr>
            <w:tcW w:w="1701" w:type="dxa"/>
            <w:vAlign w:val="center"/>
          </w:tcPr>
          <w:p>
            <w:pPr>
              <w:jc w:val="center"/>
              <w:rPr>
                <w:snapToGrid w:val="0"/>
                <w:kern w:val="21"/>
                <w:szCs w:val="21"/>
              </w:rPr>
            </w:pPr>
            <w:r>
              <w:rPr>
                <w:rFonts w:hint="eastAsia"/>
                <w:snapToGrid w:val="0"/>
                <w:kern w:val="21"/>
                <w:szCs w:val="21"/>
              </w:rPr>
              <w:t>0</w:t>
            </w:r>
          </w:p>
        </w:tc>
        <w:tc>
          <w:tcPr>
            <w:tcW w:w="1276" w:type="dxa"/>
            <w:vAlign w:val="center"/>
          </w:tcPr>
          <w:p>
            <w:pPr>
              <w:jc w:val="center"/>
              <w:rPr>
                <w:snapToGrid w:val="0"/>
                <w:kern w:val="21"/>
                <w:szCs w:val="21"/>
              </w:rPr>
            </w:pPr>
            <w:r>
              <w:rPr>
                <w:rFonts w:hint="eastAsia"/>
                <w:snapToGrid w:val="0"/>
                <w:kern w:val="21"/>
                <w:szCs w:val="21"/>
              </w:rPr>
              <w:t>0</w:t>
            </w:r>
          </w:p>
        </w:tc>
        <w:tc>
          <w:tcPr>
            <w:tcW w:w="1701" w:type="dxa"/>
            <w:vAlign w:val="center"/>
          </w:tcPr>
          <w:p>
            <w:pPr>
              <w:jc w:val="center"/>
              <w:rPr>
                <w:snapToGrid w:val="0"/>
                <w:kern w:val="21"/>
                <w:szCs w:val="21"/>
              </w:rPr>
            </w:pPr>
            <w:r>
              <w:rPr>
                <w:rFonts w:hint="eastAsia"/>
                <w:snapToGrid w:val="0"/>
                <w:kern w:val="21"/>
                <w:szCs w:val="21"/>
              </w:rPr>
              <w:t>0</w:t>
            </w:r>
          </w:p>
        </w:tc>
        <w:tc>
          <w:tcPr>
            <w:tcW w:w="1559" w:type="dxa"/>
            <w:vAlign w:val="center"/>
          </w:tcPr>
          <w:p>
            <w:pPr>
              <w:jc w:val="center"/>
              <w:rPr>
                <w:rFonts w:hint="eastAsia" w:eastAsia="宋体"/>
                <w:snapToGrid w:val="0"/>
                <w:kern w:val="21"/>
                <w:szCs w:val="21"/>
                <w:lang w:eastAsia="zh-CN"/>
              </w:rPr>
            </w:pPr>
            <w:r>
              <w:rPr>
                <w:rFonts w:hint="eastAsia"/>
                <w:snapToGrid w:val="0"/>
                <w:kern w:val="21"/>
                <w:szCs w:val="21"/>
                <w:lang w:val="en-US" w:eastAsia="zh-CN"/>
              </w:rPr>
              <w:t>1t/a</w:t>
            </w:r>
          </w:p>
        </w:tc>
        <w:tc>
          <w:tcPr>
            <w:tcW w:w="1761" w:type="dxa"/>
            <w:vAlign w:val="center"/>
          </w:tcPr>
          <w:p>
            <w:pPr>
              <w:jc w:val="center"/>
              <w:rPr>
                <w:snapToGrid w:val="0"/>
                <w:kern w:val="21"/>
                <w:szCs w:val="21"/>
              </w:rPr>
            </w:pPr>
            <w:r>
              <w:rPr>
                <w:rFonts w:hint="eastAsia"/>
                <w:snapToGrid w:val="0"/>
                <w:kern w:val="21"/>
                <w:szCs w:val="21"/>
              </w:rPr>
              <w:t>0</w:t>
            </w:r>
          </w:p>
        </w:tc>
        <w:tc>
          <w:tcPr>
            <w:tcW w:w="1959" w:type="dxa"/>
            <w:vAlign w:val="center"/>
          </w:tcPr>
          <w:p>
            <w:pPr>
              <w:jc w:val="center"/>
              <w:rPr>
                <w:rFonts w:hint="eastAsia" w:eastAsia="宋体"/>
                <w:snapToGrid w:val="0"/>
                <w:kern w:val="21"/>
                <w:szCs w:val="21"/>
                <w:lang w:eastAsia="zh-CN"/>
              </w:rPr>
            </w:pPr>
            <w:r>
              <w:rPr>
                <w:rFonts w:hint="eastAsia"/>
                <w:snapToGrid w:val="0"/>
                <w:kern w:val="21"/>
                <w:szCs w:val="21"/>
                <w:lang w:val="en-US" w:eastAsia="zh-CN"/>
              </w:rPr>
              <w:t>1t/a</w:t>
            </w:r>
          </w:p>
        </w:tc>
        <w:tc>
          <w:tcPr>
            <w:tcW w:w="826" w:type="dxa"/>
            <w:vAlign w:val="center"/>
          </w:tcPr>
          <w:p>
            <w:pPr>
              <w:jc w:val="center"/>
              <w:rPr>
                <w:rFonts w:hint="eastAsia" w:eastAsia="宋体"/>
                <w:snapToGrid w:val="0"/>
                <w:kern w:val="21"/>
                <w:szCs w:val="21"/>
                <w:lang w:eastAsia="zh-CN"/>
              </w:rPr>
            </w:pPr>
            <w:r>
              <w:rPr>
                <w:rFonts w:hint="eastAsia"/>
                <w:snapToGrid w:val="0"/>
                <w:kern w:val="21"/>
                <w:szCs w:val="21"/>
              </w:rPr>
              <w:t>+</w:t>
            </w:r>
            <w:r>
              <w:rPr>
                <w:rFonts w:hint="eastAsia"/>
                <w:snapToGrid w:val="0"/>
                <w:kern w:val="21"/>
                <w:szCs w:val="21"/>
                <w:lang w:val="en-US" w:eastAsia="zh-CN"/>
              </w:rPr>
              <w:t>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8" w:type="dxa"/>
            <w:vAlign w:val="center"/>
          </w:tcPr>
          <w:p>
            <w:pPr>
              <w:pStyle w:val="29"/>
              <w:spacing w:beforeLines="0" w:afterLines="0" w:line="240" w:lineRule="auto"/>
              <w:rPr>
                <w:rFonts w:hAnsi="宋体" w:cs="宋体"/>
                <w:snapToGrid w:val="0"/>
                <w:kern w:val="21"/>
                <w:szCs w:val="21"/>
              </w:rPr>
            </w:pPr>
            <w:r>
              <w:rPr>
                <w:rFonts w:hint="eastAsia" w:hAnsi="宋体" w:cs="宋体"/>
                <w:snapToGrid w:val="0"/>
                <w:kern w:val="21"/>
                <w:szCs w:val="21"/>
              </w:rPr>
              <w:t>危险废物</w:t>
            </w:r>
          </w:p>
        </w:tc>
        <w:tc>
          <w:tcPr>
            <w:tcW w:w="1417" w:type="dxa"/>
            <w:gridSpan w:val="2"/>
            <w:vAlign w:val="center"/>
          </w:tcPr>
          <w:p>
            <w:pPr>
              <w:jc w:val="center"/>
              <w:rPr>
                <w:rFonts w:hint="eastAsia" w:hAnsi="宋体" w:eastAsia="宋体" w:cs="宋体"/>
                <w:snapToGrid w:val="0"/>
                <w:kern w:val="21"/>
                <w:szCs w:val="21"/>
                <w:lang w:eastAsia="zh-CN"/>
              </w:rPr>
            </w:pPr>
            <w:r>
              <w:rPr>
                <w:rFonts w:hint="eastAsia"/>
                <w:szCs w:val="21"/>
              </w:rPr>
              <w:t>废</w:t>
            </w:r>
            <w:r>
              <w:rPr>
                <w:rFonts w:hint="eastAsia"/>
                <w:szCs w:val="21"/>
                <w:lang w:val="en-US" w:eastAsia="zh-CN"/>
              </w:rPr>
              <w:t>活性炭</w:t>
            </w:r>
          </w:p>
        </w:tc>
        <w:tc>
          <w:tcPr>
            <w:tcW w:w="1701" w:type="dxa"/>
            <w:vAlign w:val="center"/>
          </w:tcPr>
          <w:p>
            <w:pPr>
              <w:jc w:val="center"/>
              <w:rPr>
                <w:snapToGrid w:val="0"/>
                <w:kern w:val="21"/>
                <w:szCs w:val="21"/>
              </w:rPr>
            </w:pPr>
            <w:r>
              <w:rPr>
                <w:snapToGrid w:val="0"/>
                <w:kern w:val="21"/>
                <w:szCs w:val="21"/>
              </w:rPr>
              <w:t>0</w:t>
            </w:r>
          </w:p>
        </w:tc>
        <w:tc>
          <w:tcPr>
            <w:tcW w:w="1276" w:type="dxa"/>
            <w:vAlign w:val="center"/>
          </w:tcPr>
          <w:p>
            <w:pPr>
              <w:jc w:val="center"/>
              <w:rPr>
                <w:snapToGrid w:val="0"/>
                <w:kern w:val="21"/>
                <w:szCs w:val="21"/>
              </w:rPr>
            </w:pPr>
            <w:r>
              <w:rPr>
                <w:snapToGrid w:val="0"/>
                <w:kern w:val="21"/>
                <w:szCs w:val="21"/>
              </w:rPr>
              <w:t>0</w:t>
            </w:r>
          </w:p>
        </w:tc>
        <w:tc>
          <w:tcPr>
            <w:tcW w:w="1701" w:type="dxa"/>
            <w:vAlign w:val="center"/>
          </w:tcPr>
          <w:p>
            <w:pPr>
              <w:jc w:val="center"/>
              <w:rPr>
                <w:snapToGrid w:val="0"/>
                <w:kern w:val="21"/>
                <w:szCs w:val="21"/>
              </w:rPr>
            </w:pPr>
            <w:r>
              <w:rPr>
                <w:snapToGrid w:val="0"/>
                <w:kern w:val="21"/>
                <w:szCs w:val="21"/>
              </w:rPr>
              <w:t>0</w:t>
            </w:r>
          </w:p>
        </w:tc>
        <w:tc>
          <w:tcPr>
            <w:tcW w:w="1559" w:type="dxa"/>
            <w:vAlign w:val="center"/>
          </w:tcPr>
          <w:p>
            <w:pPr>
              <w:jc w:val="center"/>
              <w:rPr>
                <w:snapToGrid w:val="0"/>
                <w:kern w:val="21"/>
                <w:szCs w:val="21"/>
              </w:rPr>
            </w:pPr>
            <w:r>
              <w:rPr>
                <w:rFonts w:hint="eastAsia"/>
                <w:snapToGrid w:val="0"/>
                <w:kern w:val="21"/>
                <w:szCs w:val="21"/>
                <w:lang w:val="en-US" w:eastAsia="zh-CN"/>
              </w:rPr>
              <w:t>1.114t/a</w:t>
            </w:r>
          </w:p>
        </w:tc>
        <w:tc>
          <w:tcPr>
            <w:tcW w:w="1761" w:type="dxa"/>
            <w:vAlign w:val="center"/>
          </w:tcPr>
          <w:p>
            <w:pPr>
              <w:jc w:val="center"/>
              <w:rPr>
                <w:snapToGrid w:val="0"/>
                <w:kern w:val="21"/>
                <w:szCs w:val="21"/>
              </w:rPr>
            </w:pPr>
            <w:r>
              <w:rPr>
                <w:snapToGrid w:val="0"/>
                <w:kern w:val="21"/>
                <w:szCs w:val="21"/>
              </w:rPr>
              <w:t>0</w:t>
            </w:r>
          </w:p>
        </w:tc>
        <w:tc>
          <w:tcPr>
            <w:tcW w:w="1959" w:type="dxa"/>
            <w:vAlign w:val="center"/>
          </w:tcPr>
          <w:p>
            <w:pPr>
              <w:jc w:val="center"/>
              <w:rPr>
                <w:snapToGrid w:val="0"/>
                <w:kern w:val="21"/>
                <w:szCs w:val="21"/>
              </w:rPr>
            </w:pPr>
            <w:r>
              <w:rPr>
                <w:rFonts w:hint="eastAsia"/>
                <w:snapToGrid w:val="0"/>
                <w:kern w:val="21"/>
                <w:szCs w:val="21"/>
                <w:lang w:val="en-US" w:eastAsia="zh-CN"/>
              </w:rPr>
              <w:t>1.114t/a</w:t>
            </w:r>
          </w:p>
        </w:tc>
        <w:tc>
          <w:tcPr>
            <w:tcW w:w="826" w:type="dxa"/>
            <w:vAlign w:val="center"/>
          </w:tcPr>
          <w:p>
            <w:pPr>
              <w:jc w:val="center"/>
              <w:rPr>
                <w:snapToGrid w:val="0"/>
                <w:kern w:val="21"/>
                <w:szCs w:val="21"/>
              </w:rPr>
            </w:pPr>
            <w:r>
              <w:rPr>
                <w:rFonts w:hint="eastAsia"/>
                <w:snapToGrid w:val="0"/>
                <w:kern w:val="21"/>
                <w:szCs w:val="21"/>
                <w:lang w:val="en-US" w:eastAsia="zh-CN"/>
              </w:rPr>
              <w:t>+1.114t/a</w:t>
            </w:r>
          </w:p>
        </w:tc>
      </w:tr>
    </w:tbl>
    <w:p>
      <w:pPr>
        <w:pStyle w:val="29"/>
        <w:spacing w:before="192" w:beforeLines="80" w:after="24"/>
        <w:jc w:val="left"/>
        <w:rPr>
          <w:rFonts w:hAnsi="宋体" w:eastAsia="黑体"/>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sectPr>
      <w:footerReference r:id="rId6" w:type="default"/>
      <w:pgSz w:w="16838" w:h="11905" w:orient="landscape"/>
      <w:pgMar w:top="1531" w:right="1701" w:bottom="1531" w:left="1701"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80"/>
    <w:family w:val="auto"/>
    <w:pitch w:val="default"/>
    <w:sig w:usb0="00000000" w:usb1="00000000" w:usb2="00000000" w:usb3="00000000" w:csb0="0002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19"/>
      </w:rPr>
    </w:pPr>
    <w:r>
      <w:fldChar w:fldCharType="begin"/>
    </w:r>
    <w:r>
      <w:rPr>
        <w:rStyle w:val="19"/>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9"/>
        <w:rFonts w:ascii="宋体" w:hAnsi="宋体"/>
        <w:sz w:val="28"/>
        <w:szCs w:val="28"/>
      </w:rPr>
    </w:pPr>
    <w:r>
      <w:rPr>
        <w:rStyle w:val="19"/>
        <w:rFonts w:hint="eastAsia" w:ascii="宋体" w:hAnsi="宋体"/>
        <w:sz w:val="28"/>
        <w:szCs w:val="28"/>
      </w:rPr>
      <w:t>—</w:t>
    </w:r>
    <w:r>
      <w:rPr>
        <w:rStyle w:val="19"/>
        <w:rFonts w:hint="eastAsia" w:ascii="宋体" w:hAnsi="宋体"/>
        <w:sz w:val="20"/>
      </w:rPr>
      <w:t xml:space="preserve">  </w:t>
    </w:r>
    <w:r>
      <w:rPr>
        <w:rFonts w:ascii="宋体" w:hAnsi="宋体"/>
        <w:sz w:val="26"/>
        <w:szCs w:val="26"/>
      </w:rPr>
      <w:fldChar w:fldCharType="begin"/>
    </w:r>
    <w:r>
      <w:rPr>
        <w:rStyle w:val="19"/>
        <w:rFonts w:ascii="宋体" w:hAnsi="宋体"/>
        <w:sz w:val="26"/>
        <w:szCs w:val="26"/>
      </w:rPr>
      <w:instrText xml:space="preserve">PAGE  </w:instrText>
    </w:r>
    <w:r>
      <w:rPr>
        <w:rFonts w:ascii="宋体" w:hAnsi="宋体"/>
        <w:sz w:val="26"/>
        <w:szCs w:val="26"/>
      </w:rPr>
      <w:fldChar w:fldCharType="separate"/>
    </w:r>
    <w:r>
      <w:rPr>
        <w:rStyle w:val="19"/>
        <w:rFonts w:ascii="宋体" w:hAnsi="宋体"/>
        <w:sz w:val="26"/>
        <w:szCs w:val="26"/>
      </w:rPr>
      <w:t>9</w:t>
    </w:r>
    <w:r>
      <w:rPr>
        <w:rFonts w:ascii="宋体" w:hAnsi="宋体"/>
        <w:sz w:val="26"/>
        <w:szCs w:val="26"/>
      </w:rPr>
      <w:fldChar w:fldCharType="end"/>
    </w:r>
    <w:r>
      <w:rPr>
        <w:rStyle w:val="19"/>
        <w:rFonts w:hint="eastAsia" w:ascii="宋体" w:hAnsi="宋体"/>
        <w:sz w:val="20"/>
      </w:rPr>
      <w:t xml:space="preserve">  </w:t>
    </w:r>
    <w:r>
      <w:rPr>
        <w:rStyle w:val="19"/>
        <w:rFonts w:hint="eastAsia" w:ascii="宋体" w:hAnsi="宋体"/>
        <w:sz w:val="28"/>
        <w:szCs w:val="28"/>
      </w:rPr>
      <w:t>—</w:t>
    </w:r>
  </w:p>
  <w:p>
    <w:pPr>
      <w:pStyle w:val="1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19"/>
        <w:rFonts w:ascii="宋体" w:hAnsi="宋体"/>
        <w:sz w:val="28"/>
        <w:szCs w:val="28"/>
      </w:rPr>
    </w:pPr>
    <w:r>
      <w:rPr>
        <w:rStyle w:val="19"/>
        <w:rFonts w:hint="eastAsia" w:ascii="宋体" w:hAnsi="宋体"/>
        <w:sz w:val="28"/>
        <w:szCs w:val="28"/>
      </w:rPr>
      <w:t>—</w:t>
    </w:r>
    <w:r>
      <w:rPr>
        <w:rStyle w:val="19"/>
        <w:rFonts w:hint="eastAsia" w:ascii="宋体" w:hAnsi="宋体"/>
        <w:sz w:val="20"/>
      </w:rPr>
      <w:t xml:space="preserve">  </w:t>
    </w:r>
    <w:r>
      <w:rPr>
        <w:rFonts w:ascii="宋体" w:hAnsi="宋体"/>
        <w:sz w:val="26"/>
        <w:szCs w:val="26"/>
      </w:rPr>
      <w:fldChar w:fldCharType="begin"/>
    </w:r>
    <w:r>
      <w:rPr>
        <w:rStyle w:val="19"/>
        <w:rFonts w:ascii="宋体" w:hAnsi="宋体"/>
        <w:sz w:val="26"/>
        <w:szCs w:val="26"/>
      </w:rPr>
      <w:instrText xml:space="preserve">PAGE  </w:instrText>
    </w:r>
    <w:r>
      <w:rPr>
        <w:rFonts w:ascii="宋体" w:hAnsi="宋体"/>
        <w:sz w:val="26"/>
        <w:szCs w:val="26"/>
      </w:rPr>
      <w:fldChar w:fldCharType="separate"/>
    </w:r>
    <w:r>
      <w:rPr>
        <w:rStyle w:val="19"/>
        <w:rFonts w:ascii="宋体" w:hAnsi="宋体"/>
        <w:sz w:val="26"/>
        <w:szCs w:val="26"/>
      </w:rPr>
      <w:t>11</w:t>
    </w:r>
    <w:r>
      <w:rPr>
        <w:rFonts w:ascii="宋体" w:hAnsi="宋体"/>
        <w:sz w:val="26"/>
        <w:szCs w:val="26"/>
      </w:rPr>
      <w:fldChar w:fldCharType="end"/>
    </w:r>
    <w:r>
      <w:rPr>
        <w:rStyle w:val="19"/>
        <w:rFonts w:hint="eastAsia" w:ascii="宋体" w:hAnsi="宋体"/>
        <w:sz w:val="20"/>
      </w:rPr>
      <w:t xml:space="preserve">  </w:t>
    </w:r>
    <w:r>
      <w:rPr>
        <w:rStyle w:val="19"/>
        <w:rFonts w:hint="eastAsia" w:ascii="宋体" w:hAnsi="宋体"/>
        <w:sz w:val="28"/>
        <w:szCs w:val="28"/>
      </w:rPr>
      <w:t>—</w:t>
    </w:r>
  </w:p>
  <w:p>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C7203"/>
    <w:multiLevelType w:val="singleLevel"/>
    <w:tmpl w:val="84DC7203"/>
    <w:lvl w:ilvl="0" w:tentative="0">
      <w:start w:val="1"/>
      <w:numFmt w:val="chineseCounting"/>
      <w:suff w:val="nothing"/>
      <w:lvlText w:val="%1、"/>
      <w:lvlJc w:val="left"/>
      <w:rPr>
        <w:rFonts w:hint="eastAsia"/>
        <w:b/>
        <w:bCs/>
      </w:rPr>
    </w:lvl>
  </w:abstractNum>
  <w:abstractNum w:abstractNumId="1">
    <w:nsid w:val="B856B4C1"/>
    <w:multiLevelType w:val="singleLevel"/>
    <w:tmpl w:val="B856B4C1"/>
    <w:lvl w:ilvl="0" w:tentative="0">
      <w:start w:val="1"/>
      <w:numFmt w:val="decimal"/>
      <w:suff w:val="nothing"/>
      <w:lvlText w:val="%1、"/>
      <w:lvlJc w:val="left"/>
    </w:lvl>
  </w:abstractNum>
  <w:abstractNum w:abstractNumId="2">
    <w:nsid w:val="CA6F3DA4"/>
    <w:multiLevelType w:val="singleLevel"/>
    <w:tmpl w:val="CA6F3DA4"/>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3">
    <w:nsid w:val="1A0D01E2"/>
    <w:multiLevelType w:val="singleLevel"/>
    <w:tmpl w:val="1A0D01E2"/>
    <w:lvl w:ilvl="0" w:tentative="0">
      <w:start w:val="1"/>
      <w:numFmt w:val="decimal"/>
      <w:suff w:val="nothing"/>
      <w:lvlText w:val="（%1）"/>
      <w:lvlJc w:val="left"/>
    </w:lvl>
  </w:abstractNum>
  <w:abstractNum w:abstractNumId="4">
    <w:nsid w:val="407053DC"/>
    <w:multiLevelType w:val="singleLevel"/>
    <w:tmpl w:val="407053DC"/>
    <w:lvl w:ilvl="0" w:tentative="0">
      <w:start w:val="3"/>
      <w:numFmt w:val="decimal"/>
      <w:suff w:val="nothing"/>
      <w:lvlText w:val="%1、"/>
      <w:lvlJc w:val="left"/>
    </w:lvl>
  </w:abstractNum>
  <w:abstractNum w:abstractNumId="5">
    <w:nsid w:val="4AED8C0B"/>
    <w:multiLevelType w:val="singleLevel"/>
    <w:tmpl w:val="4AED8C0B"/>
    <w:lvl w:ilvl="0" w:tentative="0">
      <w:start w:val="2"/>
      <w:numFmt w:val="chineseCounting"/>
      <w:suff w:val="nothing"/>
      <w:lvlText w:val="%1、"/>
      <w:lvlJc w:val="left"/>
      <w:rPr>
        <w:rFonts w:hint="eastAsia"/>
      </w:rPr>
    </w:lvl>
  </w:abstractNum>
  <w:abstractNum w:abstractNumId="6">
    <w:nsid w:val="65D453F4"/>
    <w:multiLevelType w:val="singleLevel"/>
    <w:tmpl w:val="65D453F4"/>
    <w:lvl w:ilvl="0" w:tentative="0">
      <w:start w:val="1"/>
      <w:numFmt w:val="chineseCounting"/>
      <w:suff w:val="nothing"/>
      <w:lvlText w:val="（%1）"/>
      <w:lvlJc w:val="left"/>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gutterAtTop/>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hOTA0NDY3MzlkNTdlNWU2NzczMzQ3ZjZmZGY3NDkifQ=="/>
  </w:docVars>
  <w:rsids>
    <w:rsidRoot w:val="00172A27"/>
    <w:rsid w:val="000060B3"/>
    <w:rsid w:val="00017137"/>
    <w:rsid w:val="00032023"/>
    <w:rsid w:val="0004364B"/>
    <w:rsid w:val="000451F6"/>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139F"/>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158F9"/>
    <w:rsid w:val="00216060"/>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14C0"/>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749A1"/>
    <w:rsid w:val="00381A72"/>
    <w:rsid w:val="00384676"/>
    <w:rsid w:val="00390857"/>
    <w:rsid w:val="003A4BF3"/>
    <w:rsid w:val="003B420D"/>
    <w:rsid w:val="003C6C16"/>
    <w:rsid w:val="003D5F5E"/>
    <w:rsid w:val="003D794D"/>
    <w:rsid w:val="003E3058"/>
    <w:rsid w:val="003E76A9"/>
    <w:rsid w:val="003F0809"/>
    <w:rsid w:val="003F6A8C"/>
    <w:rsid w:val="003F755C"/>
    <w:rsid w:val="00401FB3"/>
    <w:rsid w:val="00406F01"/>
    <w:rsid w:val="00416D50"/>
    <w:rsid w:val="00416FD5"/>
    <w:rsid w:val="00417772"/>
    <w:rsid w:val="00420E6A"/>
    <w:rsid w:val="00425A9E"/>
    <w:rsid w:val="00426D6B"/>
    <w:rsid w:val="004303D0"/>
    <w:rsid w:val="00431E6C"/>
    <w:rsid w:val="00433CE7"/>
    <w:rsid w:val="00452738"/>
    <w:rsid w:val="00456091"/>
    <w:rsid w:val="00466321"/>
    <w:rsid w:val="00471D03"/>
    <w:rsid w:val="00484B9B"/>
    <w:rsid w:val="004855F6"/>
    <w:rsid w:val="0048661E"/>
    <w:rsid w:val="00487443"/>
    <w:rsid w:val="00494670"/>
    <w:rsid w:val="004A3823"/>
    <w:rsid w:val="004B55DE"/>
    <w:rsid w:val="004C043A"/>
    <w:rsid w:val="004E4270"/>
    <w:rsid w:val="004E6946"/>
    <w:rsid w:val="004F1AD8"/>
    <w:rsid w:val="005039CB"/>
    <w:rsid w:val="0050558F"/>
    <w:rsid w:val="00505D87"/>
    <w:rsid w:val="00506286"/>
    <w:rsid w:val="00510813"/>
    <w:rsid w:val="00511990"/>
    <w:rsid w:val="00511DE0"/>
    <w:rsid w:val="00514870"/>
    <w:rsid w:val="00514B9B"/>
    <w:rsid w:val="00517F02"/>
    <w:rsid w:val="00524303"/>
    <w:rsid w:val="005258A2"/>
    <w:rsid w:val="005401AE"/>
    <w:rsid w:val="00542E07"/>
    <w:rsid w:val="00543A7C"/>
    <w:rsid w:val="00545424"/>
    <w:rsid w:val="00554A7B"/>
    <w:rsid w:val="0055572C"/>
    <w:rsid w:val="0056106A"/>
    <w:rsid w:val="005720AE"/>
    <w:rsid w:val="00594D77"/>
    <w:rsid w:val="005969E4"/>
    <w:rsid w:val="005A06B7"/>
    <w:rsid w:val="005A1759"/>
    <w:rsid w:val="005A68A7"/>
    <w:rsid w:val="005D36AB"/>
    <w:rsid w:val="005F087F"/>
    <w:rsid w:val="006069C3"/>
    <w:rsid w:val="00617CC3"/>
    <w:rsid w:val="00622EFE"/>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D79AA"/>
    <w:rsid w:val="006E12FF"/>
    <w:rsid w:val="006E607E"/>
    <w:rsid w:val="00706C5D"/>
    <w:rsid w:val="00716AC3"/>
    <w:rsid w:val="00732922"/>
    <w:rsid w:val="0075162E"/>
    <w:rsid w:val="00754034"/>
    <w:rsid w:val="00756556"/>
    <w:rsid w:val="007618C4"/>
    <w:rsid w:val="007626C4"/>
    <w:rsid w:val="00767980"/>
    <w:rsid w:val="00770B19"/>
    <w:rsid w:val="0077463F"/>
    <w:rsid w:val="007836EA"/>
    <w:rsid w:val="00784CDA"/>
    <w:rsid w:val="007906C4"/>
    <w:rsid w:val="00791C2D"/>
    <w:rsid w:val="007940EA"/>
    <w:rsid w:val="007967E8"/>
    <w:rsid w:val="007A2170"/>
    <w:rsid w:val="007A22BF"/>
    <w:rsid w:val="007A3323"/>
    <w:rsid w:val="007B72B8"/>
    <w:rsid w:val="007B7A58"/>
    <w:rsid w:val="007C21B5"/>
    <w:rsid w:val="007E4BD2"/>
    <w:rsid w:val="007F2721"/>
    <w:rsid w:val="00801393"/>
    <w:rsid w:val="00802F88"/>
    <w:rsid w:val="00811C08"/>
    <w:rsid w:val="0081293E"/>
    <w:rsid w:val="00815465"/>
    <w:rsid w:val="00817E9A"/>
    <w:rsid w:val="008259C4"/>
    <w:rsid w:val="008306BD"/>
    <w:rsid w:val="00831A80"/>
    <w:rsid w:val="00833743"/>
    <w:rsid w:val="008340A4"/>
    <w:rsid w:val="00844C9D"/>
    <w:rsid w:val="00851EBF"/>
    <w:rsid w:val="0087135F"/>
    <w:rsid w:val="00872D94"/>
    <w:rsid w:val="00880364"/>
    <w:rsid w:val="00882F18"/>
    <w:rsid w:val="00891592"/>
    <w:rsid w:val="00891E9E"/>
    <w:rsid w:val="00897202"/>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6D"/>
    <w:rsid w:val="008F60D8"/>
    <w:rsid w:val="00902727"/>
    <w:rsid w:val="0090312B"/>
    <w:rsid w:val="0091595D"/>
    <w:rsid w:val="0091736D"/>
    <w:rsid w:val="0093037A"/>
    <w:rsid w:val="0094154D"/>
    <w:rsid w:val="0095155F"/>
    <w:rsid w:val="00954429"/>
    <w:rsid w:val="0095590A"/>
    <w:rsid w:val="009563CE"/>
    <w:rsid w:val="00965C3C"/>
    <w:rsid w:val="00976328"/>
    <w:rsid w:val="0097680D"/>
    <w:rsid w:val="00982438"/>
    <w:rsid w:val="0098404C"/>
    <w:rsid w:val="00985283"/>
    <w:rsid w:val="00995992"/>
    <w:rsid w:val="00996B97"/>
    <w:rsid w:val="009A03E5"/>
    <w:rsid w:val="009A0F3B"/>
    <w:rsid w:val="009A1BB4"/>
    <w:rsid w:val="009A2628"/>
    <w:rsid w:val="009A3200"/>
    <w:rsid w:val="009B0897"/>
    <w:rsid w:val="009B578C"/>
    <w:rsid w:val="009B7BD9"/>
    <w:rsid w:val="009C7DD5"/>
    <w:rsid w:val="009D3D59"/>
    <w:rsid w:val="009E227D"/>
    <w:rsid w:val="009E5019"/>
    <w:rsid w:val="009F36EE"/>
    <w:rsid w:val="00A04F1B"/>
    <w:rsid w:val="00A0501B"/>
    <w:rsid w:val="00A14947"/>
    <w:rsid w:val="00A32A83"/>
    <w:rsid w:val="00A368DB"/>
    <w:rsid w:val="00A423AA"/>
    <w:rsid w:val="00A53EC6"/>
    <w:rsid w:val="00A5544A"/>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07FB"/>
    <w:rsid w:val="00B6317D"/>
    <w:rsid w:val="00B7723F"/>
    <w:rsid w:val="00B80534"/>
    <w:rsid w:val="00B8433C"/>
    <w:rsid w:val="00B87491"/>
    <w:rsid w:val="00BA29E9"/>
    <w:rsid w:val="00BA7142"/>
    <w:rsid w:val="00BB237C"/>
    <w:rsid w:val="00BB41A3"/>
    <w:rsid w:val="00BC32DC"/>
    <w:rsid w:val="00BC35B6"/>
    <w:rsid w:val="00BD1B51"/>
    <w:rsid w:val="00BD2696"/>
    <w:rsid w:val="00BD4596"/>
    <w:rsid w:val="00BE1405"/>
    <w:rsid w:val="00BE312D"/>
    <w:rsid w:val="00BF1C20"/>
    <w:rsid w:val="00BF599A"/>
    <w:rsid w:val="00C10578"/>
    <w:rsid w:val="00C135BC"/>
    <w:rsid w:val="00C15C95"/>
    <w:rsid w:val="00C2596A"/>
    <w:rsid w:val="00C27537"/>
    <w:rsid w:val="00C328FE"/>
    <w:rsid w:val="00C33507"/>
    <w:rsid w:val="00C4409D"/>
    <w:rsid w:val="00C44182"/>
    <w:rsid w:val="00C44911"/>
    <w:rsid w:val="00C44E72"/>
    <w:rsid w:val="00C45A06"/>
    <w:rsid w:val="00C47E5B"/>
    <w:rsid w:val="00C61E4B"/>
    <w:rsid w:val="00C64BFF"/>
    <w:rsid w:val="00C6787C"/>
    <w:rsid w:val="00C703EA"/>
    <w:rsid w:val="00C704E9"/>
    <w:rsid w:val="00C736BD"/>
    <w:rsid w:val="00C763C9"/>
    <w:rsid w:val="00C80057"/>
    <w:rsid w:val="00C82232"/>
    <w:rsid w:val="00C82913"/>
    <w:rsid w:val="00C851A6"/>
    <w:rsid w:val="00C93E52"/>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26CDE"/>
    <w:rsid w:val="00D308ED"/>
    <w:rsid w:val="00D346FC"/>
    <w:rsid w:val="00D36D86"/>
    <w:rsid w:val="00D4163B"/>
    <w:rsid w:val="00D428AA"/>
    <w:rsid w:val="00D50A34"/>
    <w:rsid w:val="00D53EFA"/>
    <w:rsid w:val="00D560BF"/>
    <w:rsid w:val="00D94A7C"/>
    <w:rsid w:val="00D95896"/>
    <w:rsid w:val="00DB2983"/>
    <w:rsid w:val="00DB5C60"/>
    <w:rsid w:val="00DC1257"/>
    <w:rsid w:val="00DC2C4A"/>
    <w:rsid w:val="00DC3DC0"/>
    <w:rsid w:val="00DC5B2B"/>
    <w:rsid w:val="00DD318D"/>
    <w:rsid w:val="00DF1A09"/>
    <w:rsid w:val="00DF2E12"/>
    <w:rsid w:val="00DF514A"/>
    <w:rsid w:val="00DF6690"/>
    <w:rsid w:val="00DF6804"/>
    <w:rsid w:val="00E0358D"/>
    <w:rsid w:val="00E04323"/>
    <w:rsid w:val="00E06324"/>
    <w:rsid w:val="00E070A2"/>
    <w:rsid w:val="00E2656A"/>
    <w:rsid w:val="00E412D0"/>
    <w:rsid w:val="00E56322"/>
    <w:rsid w:val="00E60982"/>
    <w:rsid w:val="00E62C62"/>
    <w:rsid w:val="00E64432"/>
    <w:rsid w:val="00E654C1"/>
    <w:rsid w:val="00E65D97"/>
    <w:rsid w:val="00E72A5A"/>
    <w:rsid w:val="00E73354"/>
    <w:rsid w:val="00E9242D"/>
    <w:rsid w:val="00EB5255"/>
    <w:rsid w:val="00EB5C47"/>
    <w:rsid w:val="00ED0639"/>
    <w:rsid w:val="00EF4755"/>
    <w:rsid w:val="00EF7135"/>
    <w:rsid w:val="00F027DB"/>
    <w:rsid w:val="00F035E5"/>
    <w:rsid w:val="00F14A7A"/>
    <w:rsid w:val="00F22985"/>
    <w:rsid w:val="00F3383E"/>
    <w:rsid w:val="00F465A7"/>
    <w:rsid w:val="00F50B7C"/>
    <w:rsid w:val="00F550E6"/>
    <w:rsid w:val="00F57839"/>
    <w:rsid w:val="00F74345"/>
    <w:rsid w:val="00F80A0A"/>
    <w:rsid w:val="00F82B19"/>
    <w:rsid w:val="00F9212D"/>
    <w:rsid w:val="00F965DA"/>
    <w:rsid w:val="00FA406A"/>
    <w:rsid w:val="00FB503A"/>
    <w:rsid w:val="00FB516C"/>
    <w:rsid w:val="00FB784B"/>
    <w:rsid w:val="00FD0236"/>
    <w:rsid w:val="00FD18F4"/>
    <w:rsid w:val="00FD4263"/>
    <w:rsid w:val="00FD54DB"/>
    <w:rsid w:val="00FD619F"/>
    <w:rsid w:val="010F11B6"/>
    <w:rsid w:val="01196A77"/>
    <w:rsid w:val="01290F7E"/>
    <w:rsid w:val="012E3C5F"/>
    <w:rsid w:val="012F427B"/>
    <w:rsid w:val="01450CE6"/>
    <w:rsid w:val="01455EF4"/>
    <w:rsid w:val="014A442D"/>
    <w:rsid w:val="015D1E09"/>
    <w:rsid w:val="01705AEB"/>
    <w:rsid w:val="01A131B8"/>
    <w:rsid w:val="01D95E46"/>
    <w:rsid w:val="01EC15DD"/>
    <w:rsid w:val="02046BAB"/>
    <w:rsid w:val="0218740E"/>
    <w:rsid w:val="023D6A7C"/>
    <w:rsid w:val="024C5359"/>
    <w:rsid w:val="02697903"/>
    <w:rsid w:val="02992101"/>
    <w:rsid w:val="029D0254"/>
    <w:rsid w:val="02A4733D"/>
    <w:rsid w:val="02F96569"/>
    <w:rsid w:val="034341AE"/>
    <w:rsid w:val="03BF729D"/>
    <w:rsid w:val="03E53040"/>
    <w:rsid w:val="03EA7B21"/>
    <w:rsid w:val="03F0648C"/>
    <w:rsid w:val="03FC174F"/>
    <w:rsid w:val="040A3F4E"/>
    <w:rsid w:val="0415615C"/>
    <w:rsid w:val="041C5FF5"/>
    <w:rsid w:val="043175DA"/>
    <w:rsid w:val="044908A9"/>
    <w:rsid w:val="0467005A"/>
    <w:rsid w:val="04B56D4E"/>
    <w:rsid w:val="04D91DCB"/>
    <w:rsid w:val="04FD3EE5"/>
    <w:rsid w:val="05142923"/>
    <w:rsid w:val="052B2212"/>
    <w:rsid w:val="053D3443"/>
    <w:rsid w:val="054D77E4"/>
    <w:rsid w:val="0552311F"/>
    <w:rsid w:val="055C032E"/>
    <w:rsid w:val="055F20B3"/>
    <w:rsid w:val="056041AA"/>
    <w:rsid w:val="05645051"/>
    <w:rsid w:val="05C41B95"/>
    <w:rsid w:val="05D919D1"/>
    <w:rsid w:val="05F10D6C"/>
    <w:rsid w:val="05F83EAE"/>
    <w:rsid w:val="06011E52"/>
    <w:rsid w:val="063E7D85"/>
    <w:rsid w:val="065970E0"/>
    <w:rsid w:val="0661253A"/>
    <w:rsid w:val="06AF4459"/>
    <w:rsid w:val="06E24495"/>
    <w:rsid w:val="071A4251"/>
    <w:rsid w:val="07257D8F"/>
    <w:rsid w:val="07281BEE"/>
    <w:rsid w:val="07293586"/>
    <w:rsid w:val="07295285"/>
    <w:rsid w:val="073C7EFD"/>
    <w:rsid w:val="07636392"/>
    <w:rsid w:val="077252BC"/>
    <w:rsid w:val="07770C56"/>
    <w:rsid w:val="07A65B6B"/>
    <w:rsid w:val="07DE6C9E"/>
    <w:rsid w:val="08084C44"/>
    <w:rsid w:val="08106A44"/>
    <w:rsid w:val="08325173"/>
    <w:rsid w:val="08414FC0"/>
    <w:rsid w:val="085B7041"/>
    <w:rsid w:val="0884000E"/>
    <w:rsid w:val="08D80A56"/>
    <w:rsid w:val="08E23453"/>
    <w:rsid w:val="090F20A6"/>
    <w:rsid w:val="090F67CB"/>
    <w:rsid w:val="091A10E1"/>
    <w:rsid w:val="092026B8"/>
    <w:rsid w:val="09211EE3"/>
    <w:rsid w:val="092217DD"/>
    <w:rsid w:val="093A7294"/>
    <w:rsid w:val="09443C35"/>
    <w:rsid w:val="096047DC"/>
    <w:rsid w:val="09762598"/>
    <w:rsid w:val="09976A17"/>
    <w:rsid w:val="099F0EE1"/>
    <w:rsid w:val="09A70DD7"/>
    <w:rsid w:val="09B939C7"/>
    <w:rsid w:val="09BA5625"/>
    <w:rsid w:val="09CD02B8"/>
    <w:rsid w:val="09E17484"/>
    <w:rsid w:val="09E454A5"/>
    <w:rsid w:val="09F45D50"/>
    <w:rsid w:val="0A01537D"/>
    <w:rsid w:val="0A26017C"/>
    <w:rsid w:val="0A263993"/>
    <w:rsid w:val="0A2935D1"/>
    <w:rsid w:val="0A2D3AC2"/>
    <w:rsid w:val="0A2F1E91"/>
    <w:rsid w:val="0A324503"/>
    <w:rsid w:val="0A3C6832"/>
    <w:rsid w:val="0A660D73"/>
    <w:rsid w:val="0A703EDF"/>
    <w:rsid w:val="0A8C1122"/>
    <w:rsid w:val="0AA755DF"/>
    <w:rsid w:val="0AD54A63"/>
    <w:rsid w:val="0AE67AC2"/>
    <w:rsid w:val="0AF37755"/>
    <w:rsid w:val="0AFA54EE"/>
    <w:rsid w:val="0B120D44"/>
    <w:rsid w:val="0B2877BE"/>
    <w:rsid w:val="0B587E4D"/>
    <w:rsid w:val="0B7E7924"/>
    <w:rsid w:val="0B857DE7"/>
    <w:rsid w:val="0B882AE7"/>
    <w:rsid w:val="0BB909D8"/>
    <w:rsid w:val="0BC23B21"/>
    <w:rsid w:val="0BD27BF6"/>
    <w:rsid w:val="0BD70C2B"/>
    <w:rsid w:val="0BE07D2D"/>
    <w:rsid w:val="0BE3071A"/>
    <w:rsid w:val="0C0855B4"/>
    <w:rsid w:val="0C1B3676"/>
    <w:rsid w:val="0C3B3C7D"/>
    <w:rsid w:val="0C521E73"/>
    <w:rsid w:val="0C8764AB"/>
    <w:rsid w:val="0CAB2EAE"/>
    <w:rsid w:val="0CB00522"/>
    <w:rsid w:val="0CB92A43"/>
    <w:rsid w:val="0D1364CC"/>
    <w:rsid w:val="0D1667FD"/>
    <w:rsid w:val="0D3B72EE"/>
    <w:rsid w:val="0D5340D5"/>
    <w:rsid w:val="0D621C7D"/>
    <w:rsid w:val="0D8121E1"/>
    <w:rsid w:val="0D8B11B8"/>
    <w:rsid w:val="0D8E6F49"/>
    <w:rsid w:val="0DD0725C"/>
    <w:rsid w:val="0DF30E47"/>
    <w:rsid w:val="0E5A5A79"/>
    <w:rsid w:val="0E73034D"/>
    <w:rsid w:val="0E8673C3"/>
    <w:rsid w:val="0ECC4E06"/>
    <w:rsid w:val="0ECF2EF9"/>
    <w:rsid w:val="0F13775A"/>
    <w:rsid w:val="0F334D9F"/>
    <w:rsid w:val="0F362EB4"/>
    <w:rsid w:val="0F3B7537"/>
    <w:rsid w:val="0F4012A7"/>
    <w:rsid w:val="0F5F45FE"/>
    <w:rsid w:val="0F644D60"/>
    <w:rsid w:val="0F6B2979"/>
    <w:rsid w:val="0F6F5D3F"/>
    <w:rsid w:val="0F9A112B"/>
    <w:rsid w:val="0FDC34DC"/>
    <w:rsid w:val="10220580"/>
    <w:rsid w:val="106D2F64"/>
    <w:rsid w:val="109802E0"/>
    <w:rsid w:val="10B63710"/>
    <w:rsid w:val="10EE3304"/>
    <w:rsid w:val="10F06494"/>
    <w:rsid w:val="10F10820"/>
    <w:rsid w:val="111C2F7A"/>
    <w:rsid w:val="113019AD"/>
    <w:rsid w:val="113616DD"/>
    <w:rsid w:val="11665CA1"/>
    <w:rsid w:val="11C9039F"/>
    <w:rsid w:val="11CF5124"/>
    <w:rsid w:val="11F67CD3"/>
    <w:rsid w:val="11F8669F"/>
    <w:rsid w:val="12311332"/>
    <w:rsid w:val="12334BFC"/>
    <w:rsid w:val="124C21DF"/>
    <w:rsid w:val="125B0AFD"/>
    <w:rsid w:val="127E1F3F"/>
    <w:rsid w:val="129E2F8C"/>
    <w:rsid w:val="12B80056"/>
    <w:rsid w:val="12F56A50"/>
    <w:rsid w:val="131045BD"/>
    <w:rsid w:val="1327433B"/>
    <w:rsid w:val="137619D4"/>
    <w:rsid w:val="13951726"/>
    <w:rsid w:val="13D36299"/>
    <w:rsid w:val="13DB4C6D"/>
    <w:rsid w:val="14281B07"/>
    <w:rsid w:val="143336EA"/>
    <w:rsid w:val="14361D4F"/>
    <w:rsid w:val="14396509"/>
    <w:rsid w:val="143B5DD4"/>
    <w:rsid w:val="1470315B"/>
    <w:rsid w:val="147406B1"/>
    <w:rsid w:val="1474667F"/>
    <w:rsid w:val="14986989"/>
    <w:rsid w:val="14AC4AC2"/>
    <w:rsid w:val="14DD2C3C"/>
    <w:rsid w:val="1543698D"/>
    <w:rsid w:val="1574521F"/>
    <w:rsid w:val="15C02051"/>
    <w:rsid w:val="16087E1D"/>
    <w:rsid w:val="160C2C7F"/>
    <w:rsid w:val="16162B69"/>
    <w:rsid w:val="163A42DA"/>
    <w:rsid w:val="1671518D"/>
    <w:rsid w:val="16757778"/>
    <w:rsid w:val="170555DF"/>
    <w:rsid w:val="170D248B"/>
    <w:rsid w:val="17105524"/>
    <w:rsid w:val="17330989"/>
    <w:rsid w:val="17701D14"/>
    <w:rsid w:val="17735226"/>
    <w:rsid w:val="178253A1"/>
    <w:rsid w:val="17D34DA9"/>
    <w:rsid w:val="18117ACC"/>
    <w:rsid w:val="1837721B"/>
    <w:rsid w:val="18684C69"/>
    <w:rsid w:val="189F624C"/>
    <w:rsid w:val="18E3240F"/>
    <w:rsid w:val="18F64A6C"/>
    <w:rsid w:val="194D6EF4"/>
    <w:rsid w:val="19AE0FF8"/>
    <w:rsid w:val="19B60AB1"/>
    <w:rsid w:val="19E258CD"/>
    <w:rsid w:val="19F35477"/>
    <w:rsid w:val="1A1C66C0"/>
    <w:rsid w:val="1A2B558E"/>
    <w:rsid w:val="1A367979"/>
    <w:rsid w:val="1A3E0A37"/>
    <w:rsid w:val="1A42393B"/>
    <w:rsid w:val="1A566362"/>
    <w:rsid w:val="1A6B6AA4"/>
    <w:rsid w:val="1AAD45DE"/>
    <w:rsid w:val="1ADF262B"/>
    <w:rsid w:val="1AE82C95"/>
    <w:rsid w:val="1AF90D1C"/>
    <w:rsid w:val="1B034498"/>
    <w:rsid w:val="1B046F80"/>
    <w:rsid w:val="1B0C0176"/>
    <w:rsid w:val="1B3267B5"/>
    <w:rsid w:val="1B40161D"/>
    <w:rsid w:val="1B441859"/>
    <w:rsid w:val="1B4A7BF8"/>
    <w:rsid w:val="1B5F73FC"/>
    <w:rsid w:val="1B6606B1"/>
    <w:rsid w:val="1B802A10"/>
    <w:rsid w:val="1BBA73CF"/>
    <w:rsid w:val="1C055C70"/>
    <w:rsid w:val="1C531EF8"/>
    <w:rsid w:val="1C5E7925"/>
    <w:rsid w:val="1C835E5E"/>
    <w:rsid w:val="1CE43715"/>
    <w:rsid w:val="1CE6232F"/>
    <w:rsid w:val="1CFD070F"/>
    <w:rsid w:val="1D5F6196"/>
    <w:rsid w:val="1D6132A5"/>
    <w:rsid w:val="1D7F243E"/>
    <w:rsid w:val="1D8E56D5"/>
    <w:rsid w:val="1DD26A64"/>
    <w:rsid w:val="1DF504C3"/>
    <w:rsid w:val="1E1B3DB6"/>
    <w:rsid w:val="1E1F5222"/>
    <w:rsid w:val="1E2455EE"/>
    <w:rsid w:val="1E571F96"/>
    <w:rsid w:val="1E580AEF"/>
    <w:rsid w:val="1E7A43DA"/>
    <w:rsid w:val="1E8B4D55"/>
    <w:rsid w:val="1EA92D2E"/>
    <w:rsid w:val="1ECF481E"/>
    <w:rsid w:val="1EF71971"/>
    <w:rsid w:val="1EFA580D"/>
    <w:rsid w:val="1F0E2664"/>
    <w:rsid w:val="1F1C20AF"/>
    <w:rsid w:val="1F655E08"/>
    <w:rsid w:val="1F6655A8"/>
    <w:rsid w:val="1F695038"/>
    <w:rsid w:val="1F9348FD"/>
    <w:rsid w:val="1FC451B5"/>
    <w:rsid w:val="1FC9414B"/>
    <w:rsid w:val="1FD376B6"/>
    <w:rsid w:val="1FE7539E"/>
    <w:rsid w:val="20363AE2"/>
    <w:rsid w:val="20671BE0"/>
    <w:rsid w:val="20963CB8"/>
    <w:rsid w:val="209F1A49"/>
    <w:rsid w:val="20A81A1B"/>
    <w:rsid w:val="20B07FB6"/>
    <w:rsid w:val="20B646FB"/>
    <w:rsid w:val="20D83556"/>
    <w:rsid w:val="20DB57B9"/>
    <w:rsid w:val="20E16C02"/>
    <w:rsid w:val="21065069"/>
    <w:rsid w:val="210739CF"/>
    <w:rsid w:val="213B74B1"/>
    <w:rsid w:val="21582052"/>
    <w:rsid w:val="215A2310"/>
    <w:rsid w:val="218117E4"/>
    <w:rsid w:val="21DE318A"/>
    <w:rsid w:val="21EF5B80"/>
    <w:rsid w:val="220D2C60"/>
    <w:rsid w:val="22103790"/>
    <w:rsid w:val="22254218"/>
    <w:rsid w:val="22576990"/>
    <w:rsid w:val="22902320"/>
    <w:rsid w:val="229F6B9B"/>
    <w:rsid w:val="22A54512"/>
    <w:rsid w:val="22CE2E51"/>
    <w:rsid w:val="22DB51F0"/>
    <w:rsid w:val="22F47480"/>
    <w:rsid w:val="23172CDF"/>
    <w:rsid w:val="233A0F08"/>
    <w:rsid w:val="235803C1"/>
    <w:rsid w:val="238D4474"/>
    <w:rsid w:val="23BE7669"/>
    <w:rsid w:val="23DA2C14"/>
    <w:rsid w:val="23DE1C48"/>
    <w:rsid w:val="23E1705B"/>
    <w:rsid w:val="23FD7927"/>
    <w:rsid w:val="240210CD"/>
    <w:rsid w:val="240561C6"/>
    <w:rsid w:val="24082E79"/>
    <w:rsid w:val="243E1002"/>
    <w:rsid w:val="24653DE1"/>
    <w:rsid w:val="24953030"/>
    <w:rsid w:val="24BF09F7"/>
    <w:rsid w:val="24D37247"/>
    <w:rsid w:val="24F80BB8"/>
    <w:rsid w:val="25162C78"/>
    <w:rsid w:val="25213AC7"/>
    <w:rsid w:val="252A0877"/>
    <w:rsid w:val="252D53FE"/>
    <w:rsid w:val="253468AF"/>
    <w:rsid w:val="253535A5"/>
    <w:rsid w:val="254D2D9F"/>
    <w:rsid w:val="25607F44"/>
    <w:rsid w:val="25627029"/>
    <w:rsid w:val="2569134A"/>
    <w:rsid w:val="25732230"/>
    <w:rsid w:val="257B57C9"/>
    <w:rsid w:val="258849BC"/>
    <w:rsid w:val="25C40D62"/>
    <w:rsid w:val="25D1626E"/>
    <w:rsid w:val="25EC2D81"/>
    <w:rsid w:val="25F20E07"/>
    <w:rsid w:val="26010DE7"/>
    <w:rsid w:val="26254F6C"/>
    <w:rsid w:val="264B4A71"/>
    <w:rsid w:val="26642F10"/>
    <w:rsid w:val="267B5652"/>
    <w:rsid w:val="267E44FA"/>
    <w:rsid w:val="26AD1331"/>
    <w:rsid w:val="26EE508C"/>
    <w:rsid w:val="2736736E"/>
    <w:rsid w:val="27536542"/>
    <w:rsid w:val="276908DF"/>
    <w:rsid w:val="276E5E8A"/>
    <w:rsid w:val="277057A2"/>
    <w:rsid w:val="277D2CA4"/>
    <w:rsid w:val="279C2AA1"/>
    <w:rsid w:val="28225C15"/>
    <w:rsid w:val="286B6121"/>
    <w:rsid w:val="28733FA7"/>
    <w:rsid w:val="287D293C"/>
    <w:rsid w:val="28883B84"/>
    <w:rsid w:val="28BA0399"/>
    <w:rsid w:val="29206EB8"/>
    <w:rsid w:val="29372C23"/>
    <w:rsid w:val="29595666"/>
    <w:rsid w:val="29874881"/>
    <w:rsid w:val="29E1436D"/>
    <w:rsid w:val="29E325E0"/>
    <w:rsid w:val="29EB0DE7"/>
    <w:rsid w:val="29F217A3"/>
    <w:rsid w:val="2A2B74F7"/>
    <w:rsid w:val="2A452503"/>
    <w:rsid w:val="2AD5123F"/>
    <w:rsid w:val="2AF00B21"/>
    <w:rsid w:val="2B1C6844"/>
    <w:rsid w:val="2B6C26EA"/>
    <w:rsid w:val="2B715699"/>
    <w:rsid w:val="2BA936A8"/>
    <w:rsid w:val="2BC12093"/>
    <w:rsid w:val="2BC23C3C"/>
    <w:rsid w:val="2C0D541D"/>
    <w:rsid w:val="2C315A5A"/>
    <w:rsid w:val="2C315BA3"/>
    <w:rsid w:val="2C3B7E2E"/>
    <w:rsid w:val="2C4B1C25"/>
    <w:rsid w:val="2C755253"/>
    <w:rsid w:val="2CAF7656"/>
    <w:rsid w:val="2CD8690C"/>
    <w:rsid w:val="2CDF4F3C"/>
    <w:rsid w:val="2CE06178"/>
    <w:rsid w:val="2D004ED2"/>
    <w:rsid w:val="2D066F4C"/>
    <w:rsid w:val="2D254BBC"/>
    <w:rsid w:val="2D277556"/>
    <w:rsid w:val="2D2C15A2"/>
    <w:rsid w:val="2D3656BE"/>
    <w:rsid w:val="2D3F63FF"/>
    <w:rsid w:val="2D436C9D"/>
    <w:rsid w:val="2D737C2B"/>
    <w:rsid w:val="2D906A09"/>
    <w:rsid w:val="2D90727F"/>
    <w:rsid w:val="2D97495B"/>
    <w:rsid w:val="2D9E56F5"/>
    <w:rsid w:val="2DCB17FF"/>
    <w:rsid w:val="2DDA1082"/>
    <w:rsid w:val="2DF14F7F"/>
    <w:rsid w:val="2E0E3A9B"/>
    <w:rsid w:val="2E105CBA"/>
    <w:rsid w:val="2E667F96"/>
    <w:rsid w:val="2E8226AB"/>
    <w:rsid w:val="2EA97E0A"/>
    <w:rsid w:val="2EAB6A03"/>
    <w:rsid w:val="2EB1124E"/>
    <w:rsid w:val="2EBE4DB7"/>
    <w:rsid w:val="2EBF4F8C"/>
    <w:rsid w:val="2EF000A0"/>
    <w:rsid w:val="2EF6669D"/>
    <w:rsid w:val="2F275937"/>
    <w:rsid w:val="2F2C4972"/>
    <w:rsid w:val="2F3516E3"/>
    <w:rsid w:val="2F441013"/>
    <w:rsid w:val="2F500788"/>
    <w:rsid w:val="2F7034FB"/>
    <w:rsid w:val="2F832077"/>
    <w:rsid w:val="2F9B58C6"/>
    <w:rsid w:val="2FAE34AD"/>
    <w:rsid w:val="2FBC38D8"/>
    <w:rsid w:val="2FD065E6"/>
    <w:rsid w:val="2FD96870"/>
    <w:rsid w:val="2FDE2CF3"/>
    <w:rsid w:val="2FEA6AB9"/>
    <w:rsid w:val="2FFF6314"/>
    <w:rsid w:val="3052667B"/>
    <w:rsid w:val="30580BC9"/>
    <w:rsid w:val="307955AD"/>
    <w:rsid w:val="3081206A"/>
    <w:rsid w:val="309643B3"/>
    <w:rsid w:val="30D04409"/>
    <w:rsid w:val="30D20EB6"/>
    <w:rsid w:val="31014DE3"/>
    <w:rsid w:val="311E2ED7"/>
    <w:rsid w:val="31377280"/>
    <w:rsid w:val="315619EE"/>
    <w:rsid w:val="315C449C"/>
    <w:rsid w:val="3179580E"/>
    <w:rsid w:val="31B82709"/>
    <w:rsid w:val="31D05482"/>
    <w:rsid w:val="31D371CD"/>
    <w:rsid w:val="32400B34"/>
    <w:rsid w:val="324A6198"/>
    <w:rsid w:val="32520A8D"/>
    <w:rsid w:val="325A7FFA"/>
    <w:rsid w:val="32680677"/>
    <w:rsid w:val="326D15F7"/>
    <w:rsid w:val="328672B6"/>
    <w:rsid w:val="329E6876"/>
    <w:rsid w:val="32B21AE9"/>
    <w:rsid w:val="32B300B7"/>
    <w:rsid w:val="32C14902"/>
    <w:rsid w:val="32FA2F03"/>
    <w:rsid w:val="333015F2"/>
    <w:rsid w:val="33347117"/>
    <w:rsid w:val="334B6320"/>
    <w:rsid w:val="337661BE"/>
    <w:rsid w:val="33937F1B"/>
    <w:rsid w:val="33D934D4"/>
    <w:rsid w:val="33EE112E"/>
    <w:rsid w:val="33FE2F6A"/>
    <w:rsid w:val="340E07E5"/>
    <w:rsid w:val="34235BF7"/>
    <w:rsid w:val="34313A69"/>
    <w:rsid w:val="34384352"/>
    <w:rsid w:val="34570FA1"/>
    <w:rsid w:val="348A515C"/>
    <w:rsid w:val="349C7339"/>
    <w:rsid w:val="349E215A"/>
    <w:rsid w:val="350E0F7A"/>
    <w:rsid w:val="35722DC5"/>
    <w:rsid w:val="358A3716"/>
    <w:rsid w:val="358C5FA8"/>
    <w:rsid w:val="359100D7"/>
    <w:rsid w:val="35C15DF1"/>
    <w:rsid w:val="35F95971"/>
    <w:rsid w:val="36047660"/>
    <w:rsid w:val="36074A7F"/>
    <w:rsid w:val="362F290B"/>
    <w:rsid w:val="362F752A"/>
    <w:rsid w:val="36421870"/>
    <w:rsid w:val="367725D3"/>
    <w:rsid w:val="368D2532"/>
    <w:rsid w:val="36923549"/>
    <w:rsid w:val="36B75FBF"/>
    <w:rsid w:val="36BB57CA"/>
    <w:rsid w:val="36BD0C45"/>
    <w:rsid w:val="36D92102"/>
    <w:rsid w:val="36F0243D"/>
    <w:rsid w:val="36F3224B"/>
    <w:rsid w:val="370B50A0"/>
    <w:rsid w:val="37531B5A"/>
    <w:rsid w:val="37837AA6"/>
    <w:rsid w:val="37AA09B1"/>
    <w:rsid w:val="37DC5298"/>
    <w:rsid w:val="37E00298"/>
    <w:rsid w:val="37E22DB7"/>
    <w:rsid w:val="37E4274C"/>
    <w:rsid w:val="37F02E6F"/>
    <w:rsid w:val="37FD0A67"/>
    <w:rsid w:val="381B3C68"/>
    <w:rsid w:val="38926538"/>
    <w:rsid w:val="38A7606C"/>
    <w:rsid w:val="38B302F9"/>
    <w:rsid w:val="38B82F4D"/>
    <w:rsid w:val="38C66981"/>
    <w:rsid w:val="38F12CD3"/>
    <w:rsid w:val="38F94775"/>
    <w:rsid w:val="39061D0D"/>
    <w:rsid w:val="39164123"/>
    <w:rsid w:val="392971ED"/>
    <w:rsid w:val="39325651"/>
    <w:rsid w:val="396517AA"/>
    <w:rsid w:val="39780EE8"/>
    <w:rsid w:val="397D4012"/>
    <w:rsid w:val="39DA10C7"/>
    <w:rsid w:val="3A5E18FB"/>
    <w:rsid w:val="3A720190"/>
    <w:rsid w:val="3A872856"/>
    <w:rsid w:val="3A892883"/>
    <w:rsid w:val="3AB87E74"/>
    <w:rsid w:val="3B0A2621"/>
    <w:rsid w:val="3B3763D1"/>
    <w:rsid w:val="3B593F25"/>
    <w:rsid w:val="3B63261E"/>
    <w:rsid w:val="3B6E1555"/>
    <w:rsid w:val="3B81151D"/>
    <w:rsid w:val="3BBE56A0"/>
    <w:rsid w:val="3BFE5BD4"/>
    <w:rsid w:val="3C0F3A1A"/>
    <w:rsid w:val="3C2F6E1E"/>
    <w:rsid w:val="3C3A0810"/>
    <w:rsid w:val="3C4E22D6"/>
    <w:rsid w:val="3C4F64BA"/>
    <w:rsid w:val="3C74328B"/>
    <w:rsid w:val="3C893F83"/>
    <w:rsid w:val="3CD11AF0"/>
    <w:rsid w:val="3CDA245A"/>
    <w:rsid w:val="3D1E06B7"/>
    <w:rsid w:val="3D231E11"/>
    <w:rsid w:val="3D88657B"/>
    <w:rsid w:val="3D962667"/>
    <w:rsid w:val="3D9E1026"/>
    <w:rsid w:val="3DF74A0C"/>
    <w:rsid w:val="3E020DB0"/>
    <w:rsid w:val="3E367295"/>
    <w:rsid w:val="3E4569BC"/>
    <w:rsid w:val="3E6A3D14"/>
    <w:rsid w:val="3E715DBA"/>
    <w:rsid w:val="3E733B26"/>
    <w:rsid w:val="3E8308B1"/>
    <w:rsid w:val="3E8E7A28"/>
    <w:rsid w:val="3E936CF8"/>
    <w:rsid w:val="3EDA0523"/>
    <w:rsid w:val="3EE26D12"/>
    <w:rsid w:val="3EF67890"/>
    <w:rsid w:val="3F103032"/>
    <w:rsid w:val="3F34313E"/>
    <w:rsid w:val="3F43489C"/>
    <w:rsid w:val="3F756650"/>
    <w:rsid w:val="3F9119DB"/>
    <w:rsid w:val="3F9D005F"/>
    <w:rsid w:val="3FA95A4C"/>
    <w:rsid w:val="3FB50A49"/>
    <w:rsid w:val="3FDD5113"/>
    <w:rsid w:val="40243EAA"/>
    <w:rsid w:val="40277C44"/>
    <w:rsid w:val="402E2577"/>
    <w:rsid w:val="40333015"/>
    <w:rsid w:val="404A25C9"/>
    <w:rsid w:val="407A6407"/>
    <w:rsid w:val="409960B6"/>
    <w:rsid w:val="40AF0133"/>
    <w:rsid w:val="40E77B08"/>
    <w:rsid w:val="40EA75E6"/>
    <w:rsid w:val="40FA3669"/>
    <w:rsid w:val="414F4A9B"/>
    <w:rsid w:val="41716256"/>
    <w:rsid w:val="417A50E9"/>
    <w:rsid w:val="41C92AEF"/>
    <w:rsid w:val="41DB0257"/>
    <w:rsid w:val="41F06194"/>
    <w:rsid w:val="41F76396"/>
    <w:rsid w:val="4200449D"/>
    <w:rsid w:val="42182DF2"/>
    <w:rsid w:val="423A3BCC"/>
    <w:rsid w:val="424E57D2"/>
    <w:rsid w:val="42776C94"/>
    <w:rsid w:val="428D6C95"/>
    <w:rsid w:val="42972495"/>
    <w:rsid w:val="429817DE"/>
    <w:rsid w:val="42B13858"/>
    <w:rsid w:val="42B26C49"/>
    <w:rsid w:val="433A6FE6"/>
    <w:rsid w:val="43480868"/>
    <w:rsid w:val="4350713C"/>
    <w:rsid w:val="436653E0"/>
    <w:rsid w:val="439640FF"/>
    <w:rsid w:val="439653AA"/>
    <w:rsid w:val="439D2CE0"/>
    <w:rsid w:val="43A15479"/>
    <w:rsid w:val="43A36202"/>
    <w:rsid w:val="43A41E9F"/>
    <w:rsid w:val="43B45C27"/>
    <w:rsid w:val="43B84956"/>
    <w:rsid w:val="43C4431A"/>
    <w:rsid w:val="43C65AFD"/>
    <w:rsid w:val="43E05798"/>
    <w:rsid w:val="43E914C1"/>
    <w:rsid w:val="444813D8"/>
    <w:rsid w:val="44547713"/>
    <w:rsid w:val="4456066C"/>
    <w:rsid w:val="446E1F98"/>
    <w:rsid w:val="446F1AD7"/>
    <w:rsid w:val="44A1472D"/>
    <w:rsid w:val="44AB29D4"/>
    <w:rsid w:val="44AE1C18"/>
    <w:rsid w:val="44B951CC"/>
    <w:rsid w:val="44CD14E0"/>
    <w:rsid w:val="44F20B0B"/>
    <w:rsid w:val="44F54E3A"/>
    <w:rsid w:val="450101A1"/>
    <w:rsid w:val="452D5A71"/>
    <w:rsid w:val="452E5F4C"/>
    <w:rsid w:val="45612018"/>
    <w:rsid w:val="458946E9"/>
    <w:rsid w:val="45A47C0E"/>
    <w:rsid w:val="45C275B3"/>
    <w:rsid w:val="45F8627E"/>
    <w:rsid w:val="46111D11"/>
    <w:rsid w:val="4617123E"/>
    <w:rsid w:val="4638448A"/>
    <w:rsid w:val="46390704"/>
    <w:rsid w:val="46550BEB"/>
    <w:rsid w:val="46577FD6"/>
    <w:rsid w:val="465A4922"/>
    <w:rsid w:val="46676D91"/>
    <w:rsid w:val="467C7F36"/>
    <w:rsid w:val="467E3192"/>
    <w:rsid w:val="46B85ED9"/>
    <w:rsid w:val="46D955A7"/>
    <w:rsid w:val="47133957"/>
    <w:rsid w:val="471B7250"/>
    <w:rsid w:val="472321FD"/>
    <w:rsid w:val="47657AC3"/>
    <w:rsid w:val="476C2EFF"/>
    <w:rsid w:val="47770AAB"/>
    <w:rsid w:val="47A07E0C"/>
    <w:rsid w:val="47AD3F72"/>
    <w:rsid w:val="47B857F0"/>
    <w:rsid w:val="47B9073C"/>
    <w:rsid w:val="47C262A2"/>
    <w:rsid w:val="483127EE"/>
    <w:rsid w:val="48531D53"/>
    <w:rsid w:val="486B4618"/>
    <w:rsid w:val="4870272E"/>
    <w:rsid w:val="487B7C53"/>
    <w:rsid w:val="48BC7110"/>
    <w:rsid w:val="48D165F7"/>
    <w:rsid w:val="490824B7"/>
    <w:rsid w:val="491E74DD"/>
    <w:rsid w:val="493F6E0A"/>
    <w:rsid w:val="495169D5"/>
    <w:rsid w:val="495F1416"/>
    <w:rsid w:val="496E7380"/>
    <w:rsid w:val="4974653B"/>
    <w:rsid w:val="49931823"/>
    <w:rsid w:val="49C36EED"/>
    <w:rsid w:val="49CD5922"/>
    <w:rsid w:val="49D25BAD"/>
    <w:rsid w:val="49DC7715"/>
    <w:rsid w:val="49EB4131"/>
    <w:rsid w:val="49EF1933"/>
    <w:rsid w:val="4A023139"/>
    <w:rsid w:val="4A17008E"/>
    <w:rsid w:val="4A286D3E"/>
    <w:rsid w:val="4A2F0B31"/>
    <w:rsid w:val="4A3D1117"/>
    <w:rsid w:val="4A462D10"/>
    <w:rsid w:val="4A7B576F"/>
    <w:rsid w:val="4A87090D"/>
    <w:rsid w:val="4AC96501"/>
    <w:rsid w:val="4AE76E0E"/>
    <w:rsid w:val="4AF561A9"/>
    <w:rsid w:val="4B10598F"/>
    <w:rsid w:val="4B7D0ED6"/>
    <w:rsid w:val="4BBB3C54"/>
    <w:rsid w:val="4BE05727"/>
    <w:rsid w:val="4BFE0305"/>
    <w:rsid w:val="4C143C9C"/>
    <w:rsid w:val="4C1A6E21"/>
    <w:rsid w:val="4C4649FE"/>
    <w:rsid w:val="4C4A0649"/>
    <w:rsid w:val="4C56420E"/>
    <w:rsid w:val="4C7E5ECA"/>
    <w:rsid w:val="4C876AA5"/>
    <w:rsid w:val="4CA933A1"/>
    <w:rsid w:val="4D005244"/>
    <w:rsid w:val="4D0E00FB"/>
    <w:rsid w:val="4D173F1B"/>
    <w:rsid w:val="4D176606"/>
    <w:rsid w:val="4D1A5488"/>
    <w:rsid w:val="4D437A27"/>
    <w:rsid w:val="4D740398"/>
    <w:rsid w:val="4D7F66DC"/>
    <w:rsid w:val="4D8142DB"/>
    <w:rsid w:val="4D823A5A"/>
    <w:rsid w:val="4DEC4FB0"/>
    <w:rsid w:val="4DED27D8"/>
    <w:rsid w:val="4DED32EF"/>
    <w:rsid w:val="4E075D8A"/>
    <w:rsid w:val="4E357558"/>
    <w:rsid w:val="4E3F1667"/>
    <w:rsid w:val="4E417A28"/>
    <w:rsid w:val="4E4B4329"/>
    <w:rsid w:val="4E9140B3"/>
    <w:rsid w:val="4EA2413B"/>
    <w:rsid w:val="4EC00FAD"/>
    <w:rsid w:val="4EC54578"/>
    <w:rsid w:val="4EDE688A"/>
    <w:rsid w:val="4F201AAD"/>
    <w:rsid w:val="4F284123"/>
    <w:rsid w:val="4F68201C"/>
    <w:rsid w:val="4F983EB6"/>
    <w:rsid w:val="4F9843DC"/>
    <w:rsid w:val="4FAA11FF"/>
    <w:rsid w:val="4FC62A8C"/>
    <w:rsid w:val="4FD54730"/>
    <w:rsid w:val="4FE20F0D"/>
    <w:rsid w:val="4FE51552"/>
    <w:rsid w:val="4FF4520C"/>
    <w:rsid w:val="502D003B"/>
    <w:rsid w:val="50504C4B"/>
    <w:rsid w:val="50702126"/>
    <w:rsid w:val="509C6E7C"/>
    <w:rsid w:val="50A435C8"/>
    <w:rsid w:val="50BD2E64"/>
    <w:rsid w:val="50C03D61"/>
    <w:rsid w:val="50C5102A"/>
    <w:rsid w:val="510A3F75"/>
    <w:rsid w:val="515E2EE7"/>
    <w:rsid w:val="5162104E"/>
    <w:rsid w:val="516C2B3A"/>
    <w:rsid w:val="517B3076"/>
    <w:rsid w:val="518566EC"/>
    <w:rsid w:val="51A12B5D"/>
    <w:rsid w:val="51AF5D30"/>
    <w:rsid w:val="51B94E00"/>
    <w:rsid w:val="52112A75"/>
    <w:rsid w:val="5235417D"/>
    <w:rsid w:val="523A21E4"/>
    <w:rsid w:val="52752784"/>
    <w:rsid w:val="528454CC"/>
    <w:rsid w:val="52863E61"/>
    <w:rsid w:val="529F6164"/>
    <w:rsid w:val="53310FCB"/>
    <w:rsid w:val="53343643"/>
    <w:rsid w:val="536434CC"/>
    <w:rsid w:val="53A039CC"/>
    <w:rsid w:val="53A1505A"/>
    <w:rsid w:val="53C1551D"/>
    <w:rsid w:val="53CE2B16"/>
    <w:rsid w:val="540409FC"/>
    <w:rsid w:val="54063E08"/>
    <w:rsid w:val="543437E8"/>
    <w:rsid w:val="544C1E41"/>
    <w:rsid w:val="54713E01"/>
    <w:rsid w:val="54BF58D6"/>
    <w:rsid w:val="54EE24B8"/>
    <w:rsid w:val="54F73313"/>
    <w:rsid w:val="54F80955"/>
    <w:rsid w:val="551E13C9"/>
    <w:rsid w:val="55360795"/>
    <w:rsid w:val="555170A7"/>
    <w:rsid w:val="5587536D"/>
    <w:rsid w:val="559B174B"/>
    <w:rsid w:val="55CE0CF4"/>
    <w:rsid w:val="55D337D2"/>
    <w:rsid w:val="56054383"/>
    <w:rsid w:val="562A45DD"/>
    <w:rsid w:val="56307204"/>
    <w:rsid w:val="564055A8"/>
    <w:rsid w:val="565048C2"/>
    <w:rsid w:val="56851F6E"/>
    <w:rsid w:val="568660B8"/>
    <w:rsid w:val="56B22A9C"/>
    <w:rsid w:val="56E978B9"/>
    <w:rsid w:val="56F67BB2"/>
    <w:rsid w:val="57265FB5"/>
    <w:rsid w:val="574C39B9"/>
    <w:rsid w:val="57505465"/>
    <w:rsid w:val="575A779E"/>
    <w:rsid w:val="57706012"/>
    <w:rsid w:val="577360C8"/>
    <w:rsid w:val="57742182"/>
    <w:rsid w:val="577C6198"/>
    <w:rsid w:val="579756F3"/>
    <w:rsid w:val="57B72A76"/>
    <w:rsid w:val="57C3426C"/>
    <w:rsid w:val="57CE1F93"/>
    <w:rsid w:val="57CF4438"/>
    <w:rsid w:val="57F10AFE"/>
    <w:rsid w:val="57FE4197"/>
    <w:rsid w:val="58057A19"/>
    <w:rsid w:val="584C71DF"/>
    <w:rsid w:val="58504E3E"/>
    <w:rsid w:val="58587687"/>
    <w:rsid w:val="588045C6"/>
    <w:rsid w:val="588743D1"/>
    <w:rsid w:val="5887701A"/>
    <w:rsid w:val="589E04BF"/>
    <w:rsid w:val="58DF17ED"/>
    <w:rsid w:val="59166A35"/>
    <w:rsid w:val="59344256"/>
    <w:rsid w:val="595465BD"/>
    <w:rsid w:val="59810A3F"/>
    <w:rsid w:val="59B63D53"/>
    <w:rsid w:val="59C0439F"/>
    <w:rsid w:val="5A24038E"/>
    <w:rsid w:val="5A391602"/>
    <w:rsid w:val="5A567C58"/>
    <w:rsid w:val="5A63346B"/>
    <w:rsid w:val="5A696974"/>
    <w:rsid w:val="5A7370B8"/>
    <w:rsid w:val="5A8D69E4"/>
    <w:rsid w:val="5AB546BE"/>
    <w:rsid w:val="5AB760A8"/>
    <w:rsid w:val="5ABE2233"/>
    <w:rsid w:val="5AF060F9"/>
    <w:rsid w:val="5B07421A"/>
    <w:rsid w:val="5B430F29"/>
    <w:rsid w:val="5B5C6409"/>
    <w:rsid w:val="5B612871"/>
    <w:rsid w:val="5B8262A5"/>
    <w:rsid w:val="5B98472A"/>
    <w:rsid w:val="5BDF5D95"/>
    <w:rsid w:val="5BE00819"/>
    <w:rsid w:val="5BFE7528"/>
    <w:rsid w:val="5C0C5730"/>
    <w:rsid w:val="5C4D3D78"/>
    <w:rsid w:val="5C517ED2"/>
    <w:rsid w:val="5C5204B0"/>
    <w:rsid w:val="5C8C3959"/>
    <w:rsid w:val="5C8F62D2"/>
    <w:rsid w:val="5C94507D"/>
    <w:rsid w:val="5CD907E9"/>
    <w:rsid w:val="5CFA4434"/>
    <w:rsid w:val="5D2D4D80"/>
    <w:rsid w:val="5D3C2815"/>
    <w:rsid w:val="5D473E6E"/>
    <w:rsid w:val="5D4B2164"/>
    <w:rsid w:val="5D9E6C74"/>
    <w:rsid w:val="5DB67A7C"/>
    <w:rsid w:val="5DCD7B0A"/>
    <w:rsid w:val="5DE24972"/>
    <w:rsid w:val="5E2467F1"/>
    <w:rsid w:val="5E4116D7"/>
    <w:rsid w:val="5E8F4F59"/>
    <w:rsid w:val="5EA83B38"/>
    <w:rsid w:val="5EBA15FC"/>
    <w:rsid w:val="5ED557F4"/>
    <w:rsid w:val="5EFD5A84"/>
    <w:rsid w:val="5F196DF7"/>
    <w:rsid w:val="5F1A2B43"/>
    <w:rsid w:val="5F1C1183"/>
    <w:rsid w:val="5F2658D9"/>
    <w:rsid w:val="5F287525"/>
    <w:rsid w:val="5F55636B"/>
    <w:rsid w:val="5F7A3CB8"/>
    <w:rsid w:val="5FAD2170"/>
    <w:rsid w:val="5FAD6409"/>
    <w:rsid w:val="5FB031E8"/>
    <w:rsid w:val="5FB837BB"/>
    <w:rsid w:val="5FF217FF"/>
    <w:rsid w:val="602351B7"/>
    <w:rsid w:val="60643E26"/>
    <w:rsid w:val="60791F41"/>
    <w:rsid w:val="60A35CE5"/>
    <w:rsid w:val="60AB052D"/>
    <w:rsid w:val="60AD4EF7"/>
    <w:rsid w:val="60CC405A"/>
    <w:rsid w:val="60D07DA5"/>
    <w:rsid w:val="60D55878"/>
    <w:rsid w:val="6103041F"/>
    <w:rsid w:val="611F36CD"/>
    <w:rsid w:val="61664C54"/>
    <w:rsid w:val="617F47B8"/>
    <w:rsid w:val="61850A27"/>
    <w:rsid w:val="61C22CA2"/>
    <w:rsid w:val="61D25F9E"/>
    <w:rsid w:val="61DD2837"/>
    <w:rsid w:val="61E215D8"/>
    <w:rsid w:val="61FF24C9"/>
    <w:rsid w:val="621B3775"/>
    <w:rsid w:val="62232A6C"/>
    <w:rsid w:val="62364782"/>
    <w:rsid w:val="62393B47"/>
    <w:rsid w:val="62396799"/>
    <w:rsid w:val="623A30CD"/>
    <w:rsid w:val="623D114B"/>
    <w:rsid w:val="627B03C8"/>
    <w:rsid w:val="627E24C6"/>
    <w:rsid w:val="6281339A"/>
    <w:rsid w:val="62825C34"/>
    <w:rsid w:val="62905226"/>
    <w:rsid w:val="62A66FB4"/>
    <w:rsid w:val="62AF5216"/>
    <w:rsid w:val="62D34ACF"/>
    <w:rsid w:val="62E5109B"/>
    <w:rsid w:val="62F5492F"/>
    <w:rsid w:val="62FF2B49"/>
    <w:rsid w:val="63444176"/>
    <w:rsid w:val="63884CFA"/>
    <w:rsid w:val="63905A6D"/>
    <w:rsid w:val="6394356A"/>
    <w:rsid w:val="639C5425"/>
    <w:rsid w:val="63BD2F62"/>
    <w:rsid w:val="63BE47F5"/>
    <w:rsid w:val="63C61B2C"/>
    <w:rsid w:val="63C8345F"/>
    <w:rsid w:val="63D40BE9"/>
    <w:rsid w:val="63D778B7"/>
    <w:rsid w:val="63E73DCB"/>
    <w:rsid w:val="63F33247"/>
    <w:rsid w:val="640B4BD5"/>
    <w:rsid w:val="64102431"/>
    <w:rsid w:val="64111B08"/>
    <w:rsid w:val="64147E7E"/>
    <w:rsid w:val="641C5ECF"/>
    <w:rsid w:val="64471BAE"/>
    <w:rsid w:val="645B5C73"/>
    <w:rsid w:val="64A5243A"/>
    <w:rsid w:val="64C25AFF"/>
    <w:rsid w:val="64C3372C"/>
    <w:rsid w:val="64DB5656"/>
    <w:rsid w:val="64E16EB7"/>
    <w:rsid w:val="64F31D4B"/>
    <w:rsid w:val="64F531DE"/>
    <w:rsid w:val="64F84340"/>
    <w:rsid w:val="650F5FCD"/>
    <w:rsid w:val="653401CD"/>
    <w:rsid w:val="65373578"/>
    <w:rsid w:val="655C2030"/>
    <w:rsid w:val="658051F3"/>
    <w:rsid w:val="65C124D8"/>
    <w:rsid w:val="65E029B3"/>
    <w:rsid w:val="65E16465"/>
    <w:rsid w:val="65EA3BD9"/>
    <w:rsid w:val="65F543CC"/>
    <w:rsid w:val="665567A4"/>
    <w:rsid w:val="665919BE"/>
    <w:rsid w:val="6669280B"/>
    <w:rsid w:val="668125E3"/>
    <w:rsid w:val="66943CD1"/>
    <w:rsid w:val="66A301F3"/>
    <w:rsid w:val="66A851E5"/>
    <w:rsid w:val="670073F4"/>
    <w:rsid w:val="671C5726"/>
    <w:rsid w:val="671F124A"/>
    <w:rsid w:val="672A58A1"/>
    <w:rsid w:val="67385F28"/>
    <w:rsid w:val="677A33C6"/>
    <w:rsid w:val="67925A5F"/>
    <w:rsid w:val="679E0837"/>
    <w:rsid w:val="67A71076"/>
    <w:rsid w:val="68030F4F"/>
    <w:rsid w:val="681F6961"/>
    <w:rsid w:val="68223866"/>
    <w:rsid w:val="68232070"/>
    <w:rsid w:val="68610A2F"/>
    <w:rsid w:val="68672A19"/>
    <w:rsid w:val="68805514"/>
    <w:rsid w:val="68D87CB5"/>
    <w:rsid w:val="68F96D49"/>
    <w:rsid w:val="68F96E2B"/>
    <w:rsid w:val="690A5AD0"/>
    <w:rsid w:val="69293EAC"/>
    <w:rsid w:val="692A02B2"/>
    <w:rsid w:val="692C6628"/>
    <w:rsid w:val="69316E2F"/>
    <w:rsid w:val="694E2071"/>
    <w:rsid w:val="694F6F93"/>
    <w:rsid w:val="696D7FEA"/>
    <w:rsid w:val="69766163"/>
    <w:rsid w:val="697A3B33"/>
    <w:rsid w:val="698527E7"/>
    <w:rsid w:val="6992059E"/>
    <w:rsid w:val="69996F9E"/>
    <w:rsid w:val="69AE7EC4"/>
    <w:rsid w:val="69C4545C"/>
    <w:rsid w:val="69D44760"/>
    <w:rsid w:val="69E14F3B"/>
    <w:rsid w:val="69ED2D3F"/>
    <w:rsid w:val="6A3C0CEB"/>
    <w:rsid w:val="6A520EC7"/>
    <w:rsid w:val="6A554E50"/>
    <w:rsid w:val="6AA35625"/>
    <w:rsid w:val="6ACB5DBC"/>
    <w:rsid w:val="6AF87E20"/>
    <w:rsid w:val="6B15534E"/>
    <w:rsid w:val="6B322639"/>
    <w:rsid w:val="6B322AFD"/>
    <w:rsid w:val="6B694029"/>
    <w:rsid w:val="6BA97757"/>
    <w:rsid w:val="6BB82A3A"/>
    <w:rsid w:val="6BCC3A28"/>
    <w:rsid w:val="6BF3168F"/>
    <w:rsid w:val="6C2B347B"/>
    <w:rsid w:val="6C583DDD"/>
    <w:rsid w:val="6C5D64F3"/>
    <w:rsid w:val="6C636C38"/>
    <w:rsid w:val="6C692AC2"/>
    <w:rsid w:val="6C857AF7"/>
    <w:rsid w:val="6CBD6E0A"/>
    <w:rsid w:val="6CEF30FA"/>
    <w:rsid w:val="6D3A1605"/>
    <w:rsid w:val="6D466C98"/>
    <w:rsid w:val="6D5E5C2B"/>
    <w:rsid w:val="6D9B276A"/>
    <w:rsid w:val="6D9C6520"/>
    <w:rsid w:val="6D9E3ECB"/>
    <w:rsid w:val="6DB34098"/>
    <w:rsid w:val="6DB545B6"/>
    <w:rsid w:val="6DCA4DD8"/>
    <w:rsid w:val="6DE02FB4"/>
    <w:rsid w:val="6E514CED"/>
    <w:rsid w:val="6E5362CE"/>
    <w:rsid w:val="6E876413"/>
    <w:rsid w:val="6E987971"/>
    <w:rsid w:val="6E9B40EC"/>
    <w:rsid w:val="6EB563D5"/>
    <w:rsid w:val="6EB9480F"/>
    <w:rsid w:val="6EC163D6"/>
    <w:rsid w:val="6ED53F5C"/>
    <w:rsid w:val="6ED92677"/>
    <w:rsid w:val="6F225983"/>
    <w:rsid w:val="6F3739CC"/>
    <w:rsid w:val="6F4272DD"/>
    <w:rsid w:val="6F5238CB"/>
    <w:rsid w:val="6F597E30"/>
    <w:rsid w:val="6FB140DB"/>
    <w:rsid w:val="6FCB0004"/>
    <w:rsid w:val="6FFC5590"/>
    <w:rsid w:val="702175E6"/>
    <w:rsid w:val="705E59D4"/>
    <w:rsid w:val="706D1DD0"/>
    <w:rsid w:val="70856B87"/>
    <w:rsid w:val="70997F65"/>
    <w:rsid w:val="709E559F"/>
    <w:rsid w:val="70D527EE"/>
    <w:rsid w:val="71020A51"/>
    <w:rsid w:val="7110346A"/>
    <w:rsid w:val="71494054"/>
    <w:rsid w:val="715B5300"/>
    <w:rsid w:val="717E6042"/>
    <w:rsid w:val="71972778"/>
    <w:rsid w:val="71A06191"/>
    <w:rsid w:val="71AF7207"/>
    <w:rsid w:val="71D27F8A"/>
    <w:rsid w:val="71E367A3"/>
    <w:rsid w:val="71E95F91"/>
    <w:rsid w:val="720B41B1"/>
    <w:rsid w:val="721C37B8"/>
    <w:rsid w:val="724B5320"/>
    <w:rsid w:val="72553024"/>
    <w:rsid w:val="728244AA"/>
    <w:rsid w:val="72BD24C7"/>
    <w:rsid w:val="72CB1530"/>
    <w:rsid w:val="72DE49F9"/>
    <w:rsid w:val="73122968"/>
    <w:rsid w:val="731475A8"/>
    <w:rsid w:val="731F5D5E"/>
    <w:rsid w:val="735210D6"/>
    <w:rsid w:val="736B3003"/>
    <w:rsid w:val="73C51AD5"/>
    <w:rsid w:val="741E793C"/>
    <w:rsid w:val="7441720E"/>
    <w:rsid w:val="744203EC"/>
    <w:rsid w:val="74475215"/>
    <w:rsid w:val="745E3944"/>
    <w:rsid w:val="74A40962"/>
    <w:rsid w:val="75516626"/>
    <w:rsid w:val="75C73EB5"/>
    <w:rsid w:val="75D51EE1"/>
    <w:rsid w:val="75F2398A"/>
    <w:rsid w:val="76302B2B"/>
    <w:rsid w:val="7635099D"/>
    <w:rsid w:val="76504855"/>
    <w:rsid w:val="7651272A"/>
    <w:rsid w:val="76636B47"/>
    <w:rsid w:val="76784C95"/>
    <w:rsid w:val="76B36713"/>
    <w:rsid w:val="76D61417"/>
    <w:rsid w:val="76D919BF"/>
    <w:rsid w:val="773E6E51"/>
    <w:rsid w:val="77434E05"/>
    <w:rsid w:val="7760109F"/>
    <w:rsid w:val="77662A70"/>
    <w:rsid w:val="776B4EA3"/>
    <w:rsid w:val="776F3162"/>
    <w:rsid w:val="777164B0"/>
    <w:rsid w:val="77762421"/>
    <w:rsid w:val="777A34A1"/>
    <w:rsid w:val="77947C51"/>
    <w:rsid w:val="7799021A"/>
    <w:rsid w:val="77B56B1F"/>
    <w:rsid w:val="77C12472"/>
    <w:rsid w:val="77D00F1B"/>
    <w:rsid w:val="77FB7CEA"/>
    <w:rsid w:val="780B3968"/>
    <w:rsid w:val="780F09F4"/>
    <w:rsid w:val="7844034F"/>
    <w:rsid w:val="78600860"/>
    <w:rsid w:val="786103B0"/>
    <w:rsid w:val="787779A7"/>
    <w:rsid w:val="789E435C"/>
    <w:rsid w:val="78A90480"/>
    <w:rsid w:val="78BE62E7"/>
    <w:rsid w:val="790A6479"/>
    <w:rsid w:val="793E6CAD"/>
    <w:rsid w:val="79C40098"/>
    <w:rsid w:val="79FC624F"/>
    <w:rsid w:val="7A1201D3"/>
    <w:rsid w:val="7A1659CB"/>
    <w:rsid w:val="7A2D3F47"/>
    <w:rsid w:val="7A364017"/>
    <w:rsid w:val="7A7B644C"/>
    <w:rsid w:val="7A8265E1"/>
    <w:rsid w:val="7A9F744F"/>
    <w:rsid w:val="7AA24DEA"/>
    <w:rsid w:val="7AAF16A4"/>
    <w:rsid w:val="7ABE6232"/>
    <w:rsid w:val="7AD715BA"/>
    <w:rsid w:val="7ADD66D2"/>
    <w:rsid w:val="7AE80C13"/>
    <w:rsid w:val="7AED0F30"/>
    <w:rsid w:val="7AFF0C0D"/>
    <w:rsid w:val="7B0B3B8B"/>
    <w:rsid w:val="7B686D42"/>
    <w:rsid w:val="7B6A3630"/>
    <w:rsid w:val="7B841746"/>
    <w:rsid w:val="7B900C8F"/>
    <w:rsid w:val="7B9F04C4"/>
    <w:rsid w:val="7BC66FCE"/>
    <w:rsid w:val="7C2967B8"/>
    <w:rsid w:val="7C633CA5"/>
    <w:rsid w:val="7C6C5AC7"/>
    <w:rsid w:val="7C86518B"/>
    <w:rsid w:val="7CC6544B"/>
    <w:rsid w:val="7CF537F7"/>
    <w:rsid w:val="7D0239FF"/>
    <w:rsid w:val="7D574BC3"/>
    <w:rsid w:val="7D57539F"/>
    <w:rsid w:val="7D5E40CD"/>
    <w:rsid w:val="7D616340"/>
    <w:rsid w:val="7D914C65"/>
    <w:rsid w:val="7DB3375A"/>
    <w:rsid w:val="7DCD56F2"/>
    <w:rsid w:val="7DCF28CA"/>
    <w:rsid w:val="7DF668BB"/>
    <w:rsid w:val="7E030F37"/>
    <w:rsid w:val="7E2C1B18"/>
    <w:rsid w:val="7E8751AE"/>
    <w:rsid w:val="7EC81CE6"/>
    <w:rsid w:val="7ECB4FDF"/>
    <w:rsid w:val="7EDF2A4B"/>
    <w:rsid w:val="7F001CE7"/>
    <w:rsid w:val="7F873200"/>
    <w:rsid w:val="7FA830D6"/>
    <w:rsid w:val="7FA969BD"/>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semiHidden="0"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9"/>
    <w:pPr>
      <w:keepNext/>
      <w:keepLines/>
      <w:outlineLvl w:val="1"/>
    </w:pPr>
    <w:rPr>
      <w:rFonts w:ascii="Arial" w:hAnsi="Arial" w:eastAsia="黑体"/>
      <w:b/>
      <w:bCs/>
      <w:sz w:val="28"/>
      <w:szCs w:val="32"/>
    </w:rPr>
  </w:style>
  <w:style w:type="character" w:default="1" w:styleId="18">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44"/>
    <w:semiHidden/>
    <w:qFormat/>
    <w:uiPriority w:val="0"/>
    <w:rPr>
      <w:b/>
    </w:rPr>
  </w:style>
  <w:style w:type="paragraph" w:styleId="5">
    <w:name w:val="annotation text"/>
    <w:basedOn w:val="1"/>
    <w:link w:val="48"/>
    <w:semiHidden/>
    <w:qFormat/>
    <w:uiPriority w:val="0"/>
    <w:pPr>
      <w:jc w:val="left"/>
    </w:pPr>
    <w:rPr>
      <w:kern w:val="0"/>
      <w:sz w:val="24"/>
      <w:szCs w:val="20"/>
    </w:rPr>
  </w:style>
  <w:style w:type="paragraph" w:styleId="6">
    <w:name w:val="Normal Indent"/>
    <w:basedOn w:val="1"/>
    <w:qFormat/>
    <w:locked/>
    <w:uiPriority w:val="0"/>
    <w:pPr>
      <w:ind w:firstLine="200" w:firstLineChars="200"/>
    </w:pPr>
  </w:style>
  <w:style w:type="paragraph" w:styleId="7">
    <w:name w:val="caption"/>
    <w:basedOn w:val="1"/>
    <w:next w:val="1"/>
    <w:qFormat/>
    <w:locked/>
    <w:uiPriority w:val="0"/>
    <w:rPr>
      <w:rFonts w:ascii="Cambria" w:hAnsi="Cambria" w:eastAsia="黑体"/>
      <w:sz w:val="20"/>
    </w:rPr>
  </w:style>
  <w:style w:type="paragraph" w:styleId="8">
    <w:name w:val="Body Text"/>
    <w:basedOn w:val="1"/>
    <w:next w:val="9"/>
    <w:link w:val="43"/>
    <w:qFormat/>
    <w:uiPriority w:val="0"/>
    <w:pPr>
      <w:widowControl/>
      <w:snapToGrid w:val="0"/>
      <w:spacing w:before="60" w:after="160" w:line="259" w:lineRule="auto"/>
      <w:ind w:right="113"/>
    </w:pPr>
    <w:rPr>
      <w:kern w:val="0"/>
      <w:sz w:val="18"/>
      <w:szCs w:val="20"/>
    </w:rPr>
  </w:style>
  <w:style w:type="paragraph" w:styleId="9">
    <w:name w:val="List Bullet 5"/>
    <w:basedOn w:val="1"/>
    <w:qFormat/>
    <w:locked/>
    <w:uiPriority w:val="0"/>
    <w:pPr>
      <w:numPr>
        <w:ilvl w:val="0"/>
        <w:numId w:val="1"/>
      </w:numPr>
    </w:pPr>
  </w:style>
  <w:style w:type="paragraph" w:styleId="10">
    <w:name w:val="Body Text Indent"/>
    <w:basedOn w:val="1"/>
    <w:link w:val="45"/>
    <w:qFormat/>
    <w:uiPriority w:val="0"/>
    <w:pPr>
      <w:spacing w:after="120"/>
      <w:ind w:left="420" w:leftChars="200"/>
    </w:pPr>
    <w:rPr>
      <w:kern w:val="0"/>
      <w:sz w:val="24"/>
      <w:szCs w:val="20"/>
    </w:rPr>
  </w:style>
  <w:style w:type="paragraph" w:styleId="11">
    <w:name w:val="Plain Text"/>
    <w:basedOn w:val="1"/>
    <w:qFormat/>
    <w:locked/>
    <w:uiPriority w:val="0"/>
    <w:pPr>
      <w:spacing w:line="360" w:lineRule="exact"/>
    </w:pPr>
    <w:rPr>
      <w:rFonts w:ascii="宋体" w:hAnsi="Courier New"/>
    </w:rPr>
  </w:style>
  <w:style w:type="paragraph" w:styleId="12">
    <w:name w:val="Date"/>
    <w:basedOn w:val="1"/>
    <w:next w:val="1"/>
    <w:link w:val="38"/>
    <w:qFormat/>
    <w:uiPriority w:val="0"/>
    <w:pPr>
      <w:ind w:left="100" w:leftChars="2500"/>
    </w:pPr>
    <w:rPr>
      <w:kern w:val="0"/>
      <w:sz w:val="24"/>
      <w:szCs w:val="20"/>
    </w:rPr>
  </w:style>
  <w:style w:type="paragraph" w:styleId="13">
    <w:name w:val="Balloon Text"/>
    <w:basedOn w:val="1"/>
    <w:link w:val="37"/>
    <w:semiHidden/>
    <w:qFormat/>
    <w:uiPriority w:val="0"/>
    <w:rPr>
      <w:kern w:val="0"/>
      <w:sz w:val="18"/>
      <w:szCs w:val="20"/>
    </w:rPr>
  </w:style>
  <w:style w:type="paragraph" w:styleId="14">
    <w:name w:val="footer"/>
    <w:basedOn w:val="1"/>
    <w:link w:val="36"/>
    <w:qFormat/>
    <w:uiPriority w:val="99"/>
    <w:pPr>
      <w:tabs>
        <w:tab w:val="center" w:pos="4153"/>
        <w:tab w:val="right" w:pos="8306"/>
      </w:tabs>
      <w:snapToGrid w:val="0"/>
      <w:jc w:val="left"/>
    </w:pPr>
    <w:rPr>
      <w:kern w:val="0"/>
      <w:sz w:val="18"/>
      <w:szCs w:val="20"/>
    </w:rPr>
  </w:style>
  <w:style w:type="paragraph" w:styleId="15">
    <w:name w:val="Body Text First Indent 2"/>
    <w:basedOn w:val="10"/>
    <w:qFormat/>
    <w:locked/>
    <w:uiPriority w:val="0"/>
    <w:pPr>
      <w:ind w:firstLine="420" w:firstLineChars="200"/>
    </w:p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Normal (Web)"/>
    <w:basedOn w:val="1"/>
    <w:link w:val="46"/>
    <w:qFormat/>
    <w:uiPriority w:val="0"/>
    <w:pPr>
      <w:widowControl/>
      <w:spacing w:before="100" w:beforeAutospacing="1" w:after="100" w:afterAutospacing="1"/>
      <w:jc w:val="left"/>
    </w:pPr>
    <w:rPr>
      <w:rFonts w:ascii="宋体" w:hAnsi="宋体"/>
      <w:kern w:val="0"/>
      <w:sz w:val="24"/>
      <w:szCs w:val="20"/>
    </w:rPr>
  </w:style>
  <w:style w:type="character" w:styleId="19">
    <w:name w:val="page number"/>
    <w:basedOn w:val="18"/>
    <w:qFormat/>
    <w:locked/>
    <w:uiPriority w:val="0"/>
  </w:style>
  <w:style w:type="character" w:styleId="20">
    <w:name w:val="annotation reference"/>
    <w:semiHidden/>
    <w:qFormat/>
    <w:uiPriority w:val="0"/>
    <w:rPr>
      <w:sz w:val="21"/>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样式 自动设置"/>
    <w:basedOn w:val="1"/>
    <w:qFormat/>
    <w:uiPriority w:val="0"/>
    <w:pPr>
      <w:autoSpaceDE w:val="0"/>
      <w:autoSpaceDN w:val="0"/>
      <w:adjustRightInd w:val="0"/>
      <w:snapToGrid w:val="0"/>
      <w:spacing w:beforeLines="50" w:line="288" w:lineRule="auto"/>
      <w:ind w:firstLine="200" w:firstLineChars="200"/>
    </w:pPr>
    <w:rPr>
      <w:sz w:val="24"/>
      <w:szCs w:val="20"/>
    </w:rPr>
  </w:style>
  <w:style w:type="paragraph" w:customStyle="1" w:styleId="24">
    <w:name w:val="Other|1"/>
    <w:basedOn w:val="1"/>
    <w:qFormat/>
    <w:uiPriority w:val="0"/>
    <w:pPr>
      <w:spacing w:line="444" w:lineRule="auto"/>
      <w:ind w:firstLine="400"/>
    </w:pPr>
    <w:rPr>
      <w:rFonts w:ascii="宋体" w:hAnsi="宋体" w:cs="宋体"/>
      <w:sz w:val="28"/>
      <w:szCs w:val="28"/>
      <w:lang w:val="zh-TW" w:eastAsia="zh-TW" w:bidi="zh-TW"/>
    </w:rPr>
  </w:style>
  <w:style w:type="paragraph" w:customStyle="1" w:styleId="25">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表蕊"/>
    <w:basedOn w:val="1"/>
    <w:qFormat/>
    <w:uiPriority w:val="0"/>
    <w:pPr>
      <w:adjustRightInd w:val="0"/>
      <w:spacing w:line="320" w:lineRule="atLeast"/>
      <w:textAlignment w:val="baseline"/>
    </w:pPr>
    <w:rPr>
      <w:kern w:val="0"/>
      <w:szCs w:val="20"/>
    </w:rPr>
  </w:style>
  <w:style w:type="paragraph" w:customStyle="1" w:styleId="27">
    <w:name w:val="样式 样式 样式 自动设置 + 五号 段前: 0.5 行 行距: 单倍行距 + 段前: 0.5 行"/>
    <w:basedOn w:val="1"/>
    <w:qFormat/>
    <w:uiPriority w:val="0"/>
    <w:pPr>
      <w:autoSpaceDE w:val="0"/>
      <w:autoSpaceDN w:val="0"/>
      <w:adjustRightInd w:val="0"/>
      <w:snapToGrid w:val="0"/>
    </w:pPr>
    <w:rPr>
      <w:rFonts w:cs="宋体"/>
      <w:szCs w:val="20"/>
    </w:rPr>
  </w:style>
  <w:style w:type="paragraph" w:customStyle="1" w:styleId="28">
    <w:name w:val="创业正文"/>
    <w:basedOn w:val="1"/>
    <w:qFormat/>
    <w:uiPriority w:val="99"/>
    <w:pPr>
      <w:autoSpaceDE w:val="0"/>
      <w:autoSpaceDN w:val="0"/>
      <w:adjustRightInd w:val="0"/>
      <w:snapToGrid w:val="0"/>
      <w:spacing w:line="480" w:lineRule="exact"/>
      <w:ind w:firstLine="480" w:firstLineChars="200"/>
    </w:pPr>
    <w:rPr>
      <w:bCs/>
      <w:sz w:val="24"/>
      <w:szCs w:val="28"/>
      <w:lang w:val="zh-CN"/>
    </w:rPr>
  </w:style>
  <w:style w:type="paragraph" w:customStyle="1" w:styleId="29">
    <w:name w:val="表格"/>
    <w:basedOn w:val="1"/>
    <w:next w:val="1"/>
    <w:link w:val="40"/>
    <w:qFormat/>
    <w:uiPriority w:val="0"/>
    <w:pPr>
      <w:adjustRightInd w:val="0"/>
      <w:snapToGrid w:val="0"/>
      <w:spacing w:beforeLines="10" w:afterLines="10" w:line="259" w:lineRule="auto"/>
      <w:jc w:val="center"/>
    </w:pPr>
    <w:rPr>
      <w:rFonts w:ascii="宋体"/>
      <w:kern w:val="0"/>
      <w:szCs w:val="20"/>
    </w:rPr>
  </w:style>
  <w:style w:type="paragraph" w:customStyle="1" w:styleId="30">
    <w:name w:val="样式 ysl04 + 首行缩进:  2 字符"/>
    <w:basedOn w:val="1"/>
    <w:qFormat/>
    <w:uiPriority w:val="0"/>
    <w:pPr>
      <w:spacing w:line="360" w:lineRule="auto"/>
      <w:ind w:left="210" w:leftChars="100" w:firstLine="562" w:firstLineChars="200"/>
    </w:pPr>
    <w:rPr>
      <w:rFonts w:ascii="宋体" w:hAnsi="宋体" w:cs="宋体"/>
      <w:bCs/>
      <w:sz w:val="28"/>
      <w:szCs w:val="20"/>
    </w:rPr>
  </w:style>
  <w:style w:type="paragraph" w:customStyle="1" w:styleId="31">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32">
    <w:name w:val="Table Paragraph"/>
    <w:basedOn w:val="1"/>
    <w:qFormat/>
    <w:uiPriority w:val="1"/>
  </w:style>
  <w:style w:type="paragraph" w:customStyle="1" w:styleId="3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34">
    <w:name w:val="图文框"/>
    <w:basedOn w:val="1"/>
    <w:qFormat/>
    <w:uiPriority w:val="0"/>
    <w:pPr>
      <w:widowControl/>
      <w:spacing w:line="220" w:lineRule="atLeast"/>
      <w:jc w:val="center"/>
    </w:pPr>
    <w:rPr>
      <w:kern w:val="0"/>
      <w:szCs w:val="21"/>
    </w:rPr>
  </w:style>
  <w:style w:type="character" w:customStyle="1" w:styleId="35">
    <w:name w:val="批注文字 字符1"/>
    <w:semiHidden/>
    <w:qFormat/>
    <w:uiPriority w:val="0"/>
    <w:rPr>
      <w:rFonts w:ascii="Times New Roman" w:hAnsi="Times New Roman" w:eastAsia="宋体"/>
      <w:sz w:val="24"/>
    </w:rPr>
  </w:style>
  <w:style w:type="character" w:customStyle="1" w:styleId="36">
    <w:name w:val="页脚 字符1"/>
    <w:link w:val="14"/>
    <w:qFormat/>
    <w:locked/>
    <w:uiPriority w:val="99"/>
    <w:rPr>
      <w:sz w:val="18"/>
    </w:rPr>
  </w:style>
  <w:style w:type="character" w:customStyle="1" w:styleId="37">
    <w:name w:val="批注框文本 字符"/>
    <w:link w:val="13"/>
    <w:semiHidden/>
    <w:qFormat/>
    <w:locked/>
    <w:uiPriority w:val="0"/>
    <w:rPr>
      <w:rFonts w:ascii="Times New Roman" w:hAnsi="Times New Roman" w:eastAsia="宋体"/>
      <w:sz w:val="18"/>
    </w:rPr>
  </w:style>
  <w:style w:type="character" w:customStyle="1" w:styleId="38">
    <w:name w:val="日期 字符1"/>
    <w:link w:val="12"/>
    <w:qFormat/>
    <w:locked/>
    <w:uiPriority w:val="0"/>
    <w:rPr>
      <w:rFonts w:ascii="Times New Roman" w:hAnsi="Times New Roman" w:eastAsia="宋体"/>
      <w:sz w:val="24"/>
    </w:rPr>
  </w:style>
  <w:style w:type="character" w:customStyle="1" w:styleId="39">
    <w:name w:val="日期 字符"/>
    <w:semiHidden/>
    <w:qFormat/>
    <w:uiPriority w:val="0"/>
    <w:rPr>
      <w:rFonts w:ascii="Times New Roman" w:hAnsi="Times New Roman" w:eastAsia="宋体"/>
      <w:sz w:val="24"/>
    </w:rPr>
  </w:style>
  <w:style w:type="character" w:customStyle="1" w:styleId="40">
    <w:name w:val="表格 Char"/>
    <w:link w:val="29"/>
    <w:qFormat/>
    <w:locked/>
    <w:uiPriority w:val="0"/>
    <w:rPr>
      <w:rFonts w:ascii="宋体"/>
      <w:sz w:val="21"/>
    </w:rPr>
  </w:style>
  <w:style w:type="character" w:customStyle="1" w:styleId="41">
    <w:name w:val="正文文本 字符1"/>
    <w:semiHidden/>
    <w:qFormat/>
    <w:uiPriority w:val="0"/>
    <w:rPr>
      <w:rFonts w:ascii="Times New Roman" w:hAnsi="Times New Roman" w:eastAsia="宋体"/>
      <w:sz w:val="24"/>
    </w:rPr>
  </w:style>
  <w:style w:type="character" w:customStyle="1" w:styleId="42">
    <w:name w:val="页眉 字符"/>
    <w:link w:val="16"/>
    <w:qFormat/>
    <w:locked/>
    <w:uiPriority w:val="0"/>
    <w:rPr>
      <w:sz w:val="18"/>
    </w:rPr>
  </w:style>
  <w:style w:type="character" w:customStyle="1" w:styleId="43">
    <w:name w:val="正文文本 字符"/>
    <w:link w:val="8"/>
    <w:qFormat/>
    <w:locked/>
    <w:uiPriority w:val="0"/>
    <w:rPr>
      <w:sz w:val="18"/>
    </w:rPr>
  </w:style>
  <w:style w:type="character" w:customStyle="1" w:styleId="44">
    <w:name w:val="批注主题 字符"/>
    <w:link w:val="4"/>
    <w:semiHidden/>
    <w:qFormat/>
    <w:locked/>
    <w:uiPriority w:val="0"/>
    <w:rPr>
      <w:rFonts w:ascii="Times New Roman" w:hAnsi="Times New Roman" w:eastAsia="宋体"/>
      <w:b/>
      <w:kern w:val="2"/>
      <w:sz w:val="24"/>
    </w:rPr>
  </w:style>
  <w:style w:type="character" w:customStyle="1" w:styleId="45">
    <w:name w:val="正文文本缩进 字符"/>
    <w:link w:val="10"/>
    <w:semiHidden/>
    <w:qFormat/>
    <w:locked/>
    <w:uiPriority w:val="0"/>
    <w:rPr>
      <w:rFonts w:ascii="Times New Roman" w:hAnsi="Times New Roman" w:eastAsia="宋体"/>
      <w:sz w:val="24"/>
    </w:rPr>
  </w:style>
  <w:style w:type="character" w:customStyle="1" w:styleId="46">
    <w:name w:val="普通(网站) 字符"/>
    <w:link w:val="17"/>
    <w:qFormat/>
    <w:locked/>
    <w:uiPriority w:val="0"/>
    <w:rPr>
      <w:rFonts w:ascii="宋体" w:hAnsi="宋体" w:eastAsia="宋体"/>
      <w:sz w:val="24"/>
    </w:rPr>
  </w:style>
  <w:style w:type="character" w:customStyle="1" w:styleId="47">
    <w:name w:val="页脚 字符"/>
    <w:basedOn w:val="18"/>
    <w:qFormat/>
    <w:uiPriority w:val="99"/>
  </w:style>
  <w:style w:type="character" w:customStyle="1" w:styleId="48">
    <w:name w:val="批注文字 字符"/>
    <w:link w:val="5"/>
    <w:qFormat/>
    <w:locked/>
    <w:uiPriority w:val="0"/>
    <w:rPr>
      <w:rFonts w:ascii="Times New Roman" w:hAnsi="Times New Roman" w:eastAsia="宋体"/>
      <w:sz w:val="24"/>
    </w:rPr>
  </w:style>
  <w:style w:type="character" w:customStyle="1" w:styleId="49">
    <w:name w:val="t_tag"/>
    <w:qFormat/>
    <w:uiPriority w:val="99"/>
    <w:rPr>
      <w:rFonts w:cs="Times New Roman"/>
    </w:rPr>
  </w:style>
  <w:style w:type="paragraph" w:customStyle="1" w:styleId="50">
    <w:name w:val="本文正文"/>
    <w:basedOn w:val="1"/>
    <w:qFormat/>
    <w:uiPriority w:val="99"/>
    <w:pPr>
      <w:ind w:firstLine="480" w:firstLineChars="200"/>
    </w:pPr>
  </w:style>
  <w:style w:type="paragraph" w:customStyle="1" w:styleId="51">
    <w:name w:val="CM75"/>
    <w:basedOn w:val="1"/>
    <w:next w:val="1"/>
    <w:qFormat/>
    <w:uiPriority w:val="99"/>
    <w:pPr>
      <w:autoSpaceDE w:val="0"/>
      <w:autoSpaceDN w:val="0"/>
      <w:adjustRightInd w:val="0"/>
      <w:spacing w:after="60"/>
      <w:jc w:val="left"/>
    </w:pPr>
    <w:rPr>
      <w:rFonts w:ascii="Arial Unicode MS" w:eastAsia="Times New Roman" w:cs="Arial Unicode MS"/>
      <w:kern w:val="0"/>
      <w:sz w:val="24"/>
    </w:rPr>
  </w:style>
  <w:style w:type="paragraph" w:customStyle="1" w:styleId="52">
    <w:name w:val="CM74"/>
    <w:basedOn w:val="1"/>
    <w:next w:val="1"/>
    <w:qFormat/>
    <w:uiPriority w:val="99"/>
    <w:pPr>
      <w:autoSpaceDE w:val="0"/>
      <w:autoSpaceDN w:val="0"/>
      <w:adjustRightInd w:val="0"/>
      <w:spacing w:after="180"/>
      <w:jc w:val="left"/>
    </w:pPr>
    <w:rPr>
      <w:rFonts w:ascii="Arial Unicode MS" w:eastAsia="Times New Roman" w:cs="Arial Unicode MS"/>
      <w:kern w:val="0"/>
      <w:sz w:val="24"/>
    </w:rPr>
  </w:style>
  <w:style w:type="paragraph" w:styleId="53">
    <w:name w:val="List Paragraph"/>
    <w:basedOn w:val="1"/>
    <w:qFormat/>
    <w:uiPriority w:val="1"/>
    <w:pPr>
      <w:ind w:left="1980" w:hanging="602"/>
    </w:pPr>
    <w:rPr>
      <w:rFonts w:ascii="宋体" w:hAnsi="宋体" w:eastAsia="宋体" w:cs="宋体"/>
    </w:rPr>
  </w:style>
  <w:style w:type="paragraph" w:customStyle="1" w:styleId="54">
    <w:name w:val="24"/>
    <w:basedOn w:val="1"/>
    <w:qFormat/>
    <w:uiPriority w:val="0"/>
    <w:pPr>
      <w:ind w:firstLine="0" w:firstLineChars="0"/>
      <w:jc w:val="center"/>
    </w:pPr>
    <w:rPr>
      <w:b/>
    </w:rPr>
  </w:style>
  <w:style w:type="paragraph" w:customStyle="1" w:styleId="55">
    <w:name w:val="Char"/>
    <w:basedOn w:val="1"/>
    <w:qFormat/>
    <w:uiPriority w:val="0"/>
    <w:pPr>
      <w:spacing w:line="360" w:lineRule="auto"/>
      <w:ind w:firstLine="480" w:firstLineChars="200"/>
    </w:pPr>
    <w:rPr>
      <w:sz w:val="24"/>
      <w:szCs w:val="30"/>
    </w:rPr>
  </w:style>
  <w:style w:type="character" w:customStyle="1" w:styleId="56">
    <w:name w:val="font31"/>
    <w:qFormat/>
    <w:uiPriority w:val="0"/>
    <w:rPr>
      <w:rFonts w:hint="default" w:ascii="Times New Roman" w:hAnsi="Times New Roman" w:cs="Times New Roman"/>
      <w:color w:val="000000"/>
      <w:sz w:val="21"/>
      <w:szCs w:val="21"/>
      <w:u w:val="none"/>
      <w:vertAlign w:val="subscript"/>
    </w:rPr>
  </w:style>
  <w:style w:type="character" w:customStyle="1" w:styleId="57">
    <w:name w:val="font21"/>
    <w:qFormat/>
    <w:uiPriority w:val="0"/>
    <w:rPr>
      <w:rFonts w:hint="eastAsia" w:ascii="宋体" w:hAnsi="宋体" w:eastAsia="宋体" w:cs="宋体"/>
      <w:b/>
      <w:color w:val="000000"/>
      <w:sz w:val="21"/>
      <w:szCs w:val="21"/>
      <w:u w:val="none"/>
      <w:vertAlign w:val="superscript"/>
    </w:rPr>
  </w:style>
  <w:style w:type="paragraph" w:customStyle="1" w:styleId="58">
    <w:name w:val="j正文2"/>
    <w:qFormat/>
    <w:uiPriority w:val="0"/>
    <w:pPr>
      <w:spacing w:line="500" w:lineRule="exact"/>
      <w:ind w:firstLine="200" w:firstLineChars="200"/>
      <w:jc w:val="both"/>
    </w:pPr>
    <w:rPr>
      <w:rFonts w:ascii="Calibri" w:hAnsi="Calibri" w:eastAsia="仿宋_GB2312" w:cs="Times New Roman"/>
      <w:kern w:val="2"/>
      <w:sz w:val="24"/>
      <w:szCs w:val="24"/>
      <w:lang w:val="en-US" w:eastAsia="zh-CN" w:bidi="ar-SA"/>
    </w:rPr>
  </w:style>
  <w:style w:type="paragraph" w:customStyle="1" w:styleId="59">
    <w:name w:val="j三级标题"/>
    <w:basedOn w:val="60"/>
    <w:qFormat/>
    <w:uiPriority w:val="0"/>
    <w:rPr>
      <w:rFonts w:eastAsia="仿宋_GB2312"/>
    </w:rPr>
  </w:style>
  <w:style w:type="paragraph" w:customStyle="1" w:styleId="60">
    <w:name w:val="j二级标题"/>
    <w:qFormat/>
    <w:uiPriority w:val="0"/>
    <w:pPr>
      <w:spacing w:before="120" w:line="360" w:lineRule="auto"/>
      <w:jc w:val="both"/>
    </w:pPr>
    <w:rPr>
      <w:rFonts w:ascii="Times New Roman" w:hAnsi="Times New Roman" w:eastAsia="黑体" w:cs="Times New Roman"/>
      <w:b/>
      <w:bCs/>
      <w:kern w:val="44"/>
      <w:sz w:val="24"/>
      <w:szCs w:val="24"/>
      <w:lang w:val="en-US" w:eastAsia="zh-CN" w:bidi="ar-SA"/>
    </w:rPr>
  </w:style>
  <w:style w:type="paragraph" w:customStyle="1" w:styleId="61">
    <w:name w:val="j一级标题"/>
    <w:basedOn w:val="1"/>
    <w:qFormat/>
    <w:uiPriority w:val="0"/>
    <w:pPr>
      <w:spacing w:line="360" w:lineRule="auto"/>
      <w:jc w:val="both"/>
      <w:outlineLvl w:val="0"/>
    </w:pPr>
    <w:rPr>
      <w:rFonts w:ascii="Calibri" w:hAnsi="Calibri" w:eastAsia="仿宋_GB2312" w:cs="Times New Roman"/>
      <w:b/>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wmf"/><Relationship Id="rId30" Type="http://schemas.openxmlformats.org/officeDocument/2006/relationships/oleObject" Target="embeddings/oleObject6.bin"/><Relationship Id="rId3" Type="http://schemas.openxmlformats.org/officeDocument/2006/relationships/footer" Target="footer1.xml"/><Relationship Id="rId29" Type="http://schemas.openxmlformats.org/officeDocument/2006/relationships/image" Target="media/image17.png"/><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wmf"/><Relationship Id="rId24" Type="http://schemas.openxmlformats.org/officeDocument/2006/relationships/image" Target="media/image12.wmf"/><Relationship Id="rId23" Type="http://schemas.openxmlformats.org/officeDocument/2006/relationships/image" Target="media/image11.wmf"/><Relationship Id="rId22" Type="http://schemas.openxmlformats.org/officeDocument/2006/relationships/image" Target="media/image10.wmf"/><Relationship Id="rId21" Type="http://schemas.openxmlformats.org/officeDocument/2006/relationships/image" Target="media/image9.wmf"/><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80</Pages>
  <Words>10672</Words>
  <Characters>60831</Characters>
  <Lines>506</Lines>
  <Paragraphs>142</Paragraphs>
  <TotalTime>4</TotalTime>
  <ScaleCrop>false</ScaleCrop>
  <LinksUpToDate>false</LinksUpToDate>
  <CharactersWithSpaces>71361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2024-02-19T10:34:00Z</dcterms:created>
  <dc:creator>lhj</dc:creator>
  <cp:lastModifiedBy>飞鸟与鱼</cp:lastModifiedBy>
  <cp:lastPrinted>2024-02-28T07:27:00Z</cp:lastPrinted>
  <dcterms:modified xsi:type="dcterms:W3CDTF">2024-09-23T04:36:06Z</dcterms:modified>
  <dc:title>附件2</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A6BB7FD363C34E96B296D8560FD3706E_13</vt:lpwstr>
  </property>
</Properties>
</file>